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hd w:fill="ffffff" w:val="clear"/>
        <w:contextualSpacing w:val="0"/>
        <w:rPr>
          <w:b w:val="1"/>
          <w:sz w:val="28"/>
          <w:szCs w:val="28"/>
        </w:rPr>
      </w:pPr>
      <w:r w:rsidDel="00000000" w:rsidR="00000000" w:rsidRPr="00000000">
        <w:rPr>
          <w:b w:val="1"/>
          <w:sz w:val="28"/>
          <w:szCs w:val="28"/>
          <w:rtl w:val="0"/>
        </w:rPr>
        <w:t xml:space="preserve">Fishladder Modifications at Freeman Diversion to be Decided by Panel of Experts</w:t>
      </w:r>
    </w:p>
    <w:p w:rsidR="00000000" w:rsidDel="00000000" w:rsidP="00000000" w:rsidRDefault="00000000" w:rsidRPr="00000000" w14:paraId="00000001">
      <w:pPr>
        <w:shd w:fill="ffffff" w:val="clear"/>
        <w:contextualSpacing w:val="0"/>
        <w:rPr/>
      </w:pPr>
      <w:r w:rsidDel="00000000" w:rsidR="00000000" w:rsidRPr="00000000">
        <w:rPr>
          <w:rtl w:val="0"/>
        </w:rPr>
        <w:t xml:space="preserve">California Trout and the United Water Conservation District have reached an agreement that holds considerable promise for the future of the Southern California Steelhead. There have been no records of successful upstream passage of an adult steelhead since the Vern Freeman Diversion Dam was built just downstream of Santa Paula in 1991. Recovery of this endangered fish is considered contingent on successful recovery of the Santa Clara River population. CalTrout, along with Friends of the Santa Clara River, are hopeful that this agreement will lead to steelhead recovery throughout its historic range, which covers coastal streams from the Santa Maria River southward to Baja California.</w:t>
      </w:r>
    </w:p>
    <w:p w:rsidR="00000000" w:rsidDel="00000000" w:rsidP="00000000" w:rsidRDefault="00000000" w:rsidRPr="00000000" w14:paraId="00000002">
      <w:pPr>
        <w:shd w:fill="ffffff" w:val="clear"/>
        <w:contextualSpacing w:val="0"/>
        <w:rPr/>
      </w:pPr>
      <w:r w:rsidDel="00000000" w:rsidR="00000000" w:rsidRPr="00000000">
        <w:rPr>
          <w:rtl w:val="0"/>
        </w:rPr>
        <w:t xml:space="preserve">The agreement resolves a suit filed by CalTrout in January 2009. The agreement requires a panel of experts to work closely with United and the National Marine Fisheries Service to determine the best options to ensure necessary fish passage for steelhead at the Diversion. The panel is to report no later than August 1, 2010, at which time United will begin to implement the recommendations to improve passage and establish a reasonable timeline for completing modifications to the facility.</w:t>
      </w:r>
    </w:p>
    <w:p w:rsidR="00000000" w:rsidDel="00000000" w:rsidP="00000000" w:rsidRDefault="00000000" w:rsidRPr="00000000" w14:paraId="00000003">
      <w:pPr>
        <w:shd w:fill="ffffff" w:val="clear"/>
        <w:contextualSpacing w:val="0"/>
        <w:rPr/>
      </w:pPr>
      <w:r w:rsidDel="00000000" w:rsidR="00000000" w:rsidRPr="00000000">
        <w:rPr>
          <w:rtl w:val="0"/>
        </w:rPr>
        <w:t xml:space="preserve">"The settlement allows maximum flexibility for the use of the best possible solutions for the fish while meeting United's needs. By agreeing and adhering to focused timelines that achieve quick and meaningful protections for steelhead, CalTrout and United have an opportunity to work together productively to recover an iconic representative of our state's natural heritage," said Nica Knite, Southern California Regional Manager for CalTrout.</w:t>
      </w:r>
    </w:p>
    <w:p w:rsidR="00000000" w:rsidDel="00000000" w:rsidP="00000000" w:rsidRDefault="00000000" w:rsidRPr="00000000" w14:paraId="00000004">
      <w:pPr>
        <w:shd w:fill="ffffff" w:val="clear"/>
        <w:contextualSpacing w:val="0"/>
        <w:rPr/>
      </w:pPr>
      <w:r w:rsidDel="00000000" w:rsidR="00000000" w:rsidRPr="00000000">
        <w:rPr>
          <w:rtl w:val="0"/>
        </w:rPr>
        <w:t xml:space="preserve">The Southern California Steelhead has been federally listed as endangered since 1997. Dams and other barriers can interfere with the steelhead's migration from freshwater mountain streams to the ocean and back unless appropriate fish passage is provided. These impediments to steelhead migration present one of the greatest threats to their continuing survival.</w:t>
      </w:r>
    </w:p>
    <w:p w:rsidR="00000000" w:rsidDel="00000000" w:rsidP="00000000" w:rsidRDefault="00000000" w:rsidRPr="00000000" w14:paraId="00000005">
      <w:pPr>
        <w:shd w:fill="ffffff" w:val="clear"/>
        <w:contextualSpacing w:val="0"/>
        <w:rPr/>
      </w:pPr>
      <w:r w:rsidDel="00000000" w:rsidR="00000000" w:rsidRPr="00000000">
        <w:rPr>
          <w:rtl w:val="0"/>
        </w:rPr>
        <w:t xml:space="preserve">The panel of experts intends to perform multiple studies and tests to determine the effectiveness of the current fishladder at the Freeman Diversion and necessary modifications to provide passage for successful upstream migration.</w:t>
      </w:r>
    </w:p>
    <w:p w:rsidR="00000000" w:rsidDel="00000000" w:rsidP="00000000" w:rsidRDefault="00000000" w:rsidRPr="00000000" w14:paraId="00000006">
      <w:pPr>
        <w:shd w:fill="ffffff" w:val="clear"/>
        <w:contextualSpacing w:val="0"/>
        <w:rPr/>
      </w:pPr>
      <w:r w:rsidDel="00000000" w:rsidR="00000000" w:rsidRPr="00000000">
        <w:rPr>
          <w:rtl w:val="0"/>
        </w:rPr>
        <w:t xml:space="preserve">Progress toward recovery of the Southern California steelhead remains a vital interest of Friends of the Santa Clara River. We will be watching closely as the panel proceeds in its deliberations over the next year or so, and are cautiously hopeful that this process will eventually lead to a successful solution to this thorny problem that has festered for well over a decade.</w:t>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contextualSpacing w:val="0"/>
        <w:rPr/>
      </w:pPr>
      <w:r w:rsidDel="00000000" w:rsidR="00000000" w:rsidRPr="00000000">
        <w:rPr>
          <w:rtl w:val="0"/>
        </w:rPr>
      </w:r>
    </w:p>
    <w:p w:rsidR="00000000" w:rsidDel="00000000" w:rsidP="00000000" w:rsidRDefault="00000000" w:rsidRPr="00000000" w14:paraId="00000009">
      <w:pPr>
        <w:contextualSpacing w:val="0"/>
        <w:rPr/>
      </w:pPr>
      <w:r w:rsidDel="00000000" w:rsidR="00000000" w:rsidRPr="00000000">
        <w:rPr>
          <w:rtl w:val="0"/>
        </w:rPr>
      </w:r>
    </w:p>
    <w:p w:rsidR="00000000" w:rsidDel="00000000" w:rsidP="00000000" w:rsidRDefault="00000000" w:rsidRPr="00000000" w14:paraId="0000000A">
      <w:pPr>
        <w:contextualSpacing w:val="0"/>
        <w:rPr/>
      </w:pPr>
      <w:r w:rsidDel="00000000" w:rsidR="00000000" w:rsidRPr="00000000">
        <w:rPr>
          <w:rtl w:val="0"/>
        </w:rPr>
      </w:r>
    </w:p>
    <w:p w:rsidR="00000000" w:rsidDel="00000000" w:rsidP="00000000" w:rsidRDefault="00000000" w:rsidRPr="00000000" w14:paraId="0000000B">
      <w:pPr>
        <w:contextualSpacing w:val="0"/>
        <w:rPr/>
      </w:pPr>
      <w:r w:rsidDel="00000000" w:rsidR="00000000" w:rsidRPr="00000000">
        <w:rPr>
          <w:rtl w:val="0"/>
        </w:rPr>
      </w:r>
    </w:p>
    <w:p w:rsidR="00000000" w:rsidDel="00000000" w:rsidP="00000000" w:rsidRDefault="00000000" w:rsidRPr="00000000" w14:paraId="0000000C">
      <w:pPr>
        <w:contextualSpacing w:val="0"/>
        <w:rPr/>
      </w:pPr>
      <w:r w:rsidDel="00000000" w:rsidR="00000000" w:rsidRPr="00000000">
        <w:rPr>
          <w:rtl w:val="0"/>
        </w:rPr>
      </w:r>
    </w:p>
    <w:p w:rsidR="00000000" w:rsidDel="00000000" w:rsidP="00000000" w:rsidRDefault="00000000" w:rsidRPr="00000000" w14:paraId="0000000D">
      <w:pPr>
        <w:contextualSpacing w:val="0"/>
        <w:rPr/>
      </w:pPr>
      <w:r w:rsidDel="00000000" w:rsidR="00000000" w:rsidRPr="00000000">
        <w:rPr>
          <w:rtl w:val="0"/>
        </w:rPr>
      </w:r>
    </w:p>
    <w:p w:rsidR="00000000" w:rsidDel="00000000" w:rsidP="00000000" w:rsidRDefault="00000000" w:rsidRPr="00000000" w14:paraId="0000000E">
      <w:pPr>
        <w:contextualSpacing w:val="0"/>
        <w:rPr/>
      </w:pPr>
      <w:r w:rsidDel="00000000" w:rsidR="00000000" w:rsidRPr="00000000">
        <w:rPr>
          <w:rtl w:val="0"/>
        </w:rPr>
      </w:r>
    </w:p>
    <w:p w:rsidR="00000000" w:rsidDel="00000000" w:rsidP="00000000" w:rsidRDefault="00000000" w:rsidRPr="00000000" w14:paraId="0000000F">
      <w:pPr>
        <w:contextualSpacing w:val="0"/>
        <w:rPr/>
      </w:pPr>
      <w:r w:rsidDel="00000000" w:rsidR="00000000" w:rsidRPr="00000000">
        <w:rPr>
          <w:rtl w:val="0"/>
        </w:rPr>
      </w:r>
    </w:p>
    <w:p w:rsidR="00000000" w:rsidDel="00000000" w:rsidP="00000000" w:rsidRDefault="00000000" w:rsidRPr="00000000" w14:paraId="00000010">
      <w:pPr>
        <w:shd w:fill="ffffff" w:val="clear"/>
        <w:contextualSpacing w:val="0"/>
        <w:rPr>
          <w:b w:val="1"/>
          <w:sz w:val="28"/>
          <w:szCs w:val="28"/>
        </w:rPr>
      </w:pPr>
      <w:r w:rsidDel="00000000" w:rsidR="00000000" w:rsidRPr="00000000">
        <w:rPr>
          <w:b w:val="1"/>
          <w:sz w:val="28"/>
          <w:szCs w:val="28"/>
          <w:rtl w:val="0"/>
        </w:rPr>
        <w:t xml:space="preserve">One Valley One Vision Must Adopt Alternative 2</w:t>
      </w:r>
    </w:p>
    <w:p w:rsidR="00000000" w:rsidDel="00000000" w:rsidP="00000000" w:rsidRDefault="00000000" w:rsidRPr="00000000" w14:paraId="00000011">
      <w:pPr>
        <w:shd w:fill="ffffff" w:val="clear"/>
        <w:contextualSpacing w:val="0"/>
        <w:rPr/>
      </w:pPr>
      <w:r w:rsidDel="00000000" w:rsidR="00000000" w:rsidRPr="00000000">
        <w:rPr>
          <w:rtl w:val="0"/>
        </w:rPr>
        <w:t xml:space="preserve">An Environmental Impact Report for the One Valley One Vision (OVOV) general plan amendment covering the area plan for Los Angeles County and the City of Santa Clarita is now open for public comment until December 2.</w:t>
      </w:r>
    </w:p>
    <w:p w:rsidR="00000000" w:rsidDel="00000000" w:rsidP="00000000" w:rsidRDefault="00000000" w:rsidRPr="00000000" w14:paraId="00000012">
      <w:pPr>
        <w:shd w:fill="ffffff" w:val="clear"/>
        <w:contextualSpacing w:val="0"/>
        <w:rPr/>
      </w:pPr>
      <w:r w:rsidDel="00000000" w:rsidR="00000000" w:rsidRPr="00000000">
        <w:rPr>
          <w:rtl w:val="0"/>
        </w:rPr>
        <w:t xml:space="preserve">This area plan envisions a build-out population in the Santa Clarita Valley area of 500,000 people. Impacts to biological resources are described as unmitigable significant impacts under the California Environmental Quality Act (CEQA).</w:t>
      </w:r>
    </w:p>
    <w:p w:rsidR="00000000" w:rsidDel="00000000" w:rsidP="00000000" w:rsidRDefault="00000000" w:rsidRPr="00000000" w14:paraId="00000013">
      <w:pPr>
        <w:shd w:fill="ffffff" w:val="clear"/>
        <w:contextualSpacing w:val="0"/>
        <w:rPr/>
      </w:pPr>
      <w:r w:rsidDel="00000000" w:rsidR="00000000" w:rsidRPr="00000000">
        <w:rPr>
          <w:rtl w:val="0"/>
        </w:rPr>
        <w:t xml:space="preserve">Friends believe it is imperative that the County and City adopt Alternative 2 -- the Preservation Corridor Alternative, which is the environmentally preferred alternative under CEQA.</w:t>
      </w:r>
    </w:p>
    <w:p w:rsidR="00000000" w:rsidDel="00000000" w:rsidP="00000000" w:rsidRDefault="00000000" w:rsidRPr="00000000" w14:paraId="00000014">
      <w:pPr>
        <w:shd w:fill="ffffff" w:val="clear"/>
        <w:contextualSpacing w:val="0"/>
        <w:rPr/>
      </w:pPr>
      <w:r w:rsidDel="00000000" w:rsidR="00000000" w:rsidRPr="00000000">
        <w:rPr>
          <w:rtl w:val="0"/>
        </w:rPr>
        <w:t xml:space="preserve">The Santa Clarita Area has undergone explosive development over the past two decades that has had extensive negative impacts to biological resources in the region, including those of the Santa Clara River.</w:t>
      </w:r>
    </w:p>
    <w:p w:rsidR="00000000" w:rsidDel="00000000" w:rsidP="00000000" w:rsidRDefault="00000000" w:rsidRPr="00000000" w14:paraId="00000015">
      <w:pPr>
        <w:shd w:fill="ffffff" w:val="clear"/>
        <w:contextualSpacing w:val="0"/>
        <w:rPr/>
      </w:pPr>
      <w:r w:rsidDel="00000000" w:rsidR="00000000" w:rsidRPr="00000000">
        <w:rPr>
          <w:rtl w:val="0"/>
        </w:rPr>
        <w:t xml:space="preserve">Alternative 2 of the OVOV would lessen the impacts of development in the wildlife corridor linking the Angeles and Los Padres National Forests above Santa Clarita by reducing development density in this area from one unit per two acres to one unit per ten acres. Policies would also be put in place to create minimal obstructions on these properties to wildlife movement. Given the extremely vital nature of this wildlife corridor, we call for adoption of Alternative 2 by the County of Los Angeles and the City of Santa Clarita.</w:t>
      </w:r>
    </w:p>
    <w:p w:rsidR="00000000" w:rsidDel="00000000" w:rsidP="00000000" w:rsidRDefault="00000000" w:rsidRPr="00000000" w14:paraId="00000016">
      <w:pPr>
        <w:contextualSpacing w:val="0"/>
        <w:rPr/>
      </w:pPr>
      <w:r w:rsidDel="00000000" w:rsidR="00000000" w:rsidRPr="00000000">
        <w:rPr>
          <w:rtl w:val="0"/>
        </w:rPr>
      </w:r>
    </w:p>
    <w:p w:rsidR="00000000" w:rsidDel="00000000" w:rsidP="00000000" w:rsidRDefault="00000000" w:rsidRPr="00000000" w14:paraId="00000017">
      <w:pPr>
        <w:contextualSpacing w:val="0"/>
        <w:rPr/>
      </w:pPr>
      <w:r w:rsidDel="00000000" w:rsidR="00000000" w:rsidRPr="00000000">
        <w:rPr>
          <w:rtl w:val="0"/>
        </w:rPr>
      </w:r>
    </w:p>
    <w:p w:rsidR="00000000" w:rsidDel="00000000" w:rsidP="00000000" w:rsidRDefault="00000000" w:rsidRPr="00000000" w14:paraId="00000018">
      <w:pPr>
        <w:contextualSpacing w:val="0"/>
        <w:rPr/>
      </w:pPr>
      <w:r w:rsidDel="00000000" w:rsidR="00000000" w:rsidRPr="00000000">
        <w:rPr>
          <w:rtl w:val="0"/>
        </w:rPr>
      </w:r>
    </w:p>
    <w:p w:rsidR="00000000" w:rsidDel="00000000" w:rsidP="00000000" w:rsidRDefault="00000000" w:rsidRPr="00000000" w14:paraId="00000019">
      <w:pPr>
        <w:contextualSpacing w:val="0"/>
        <w:rPr/>
      </w:pPr>
      <w:r w:rsidDel="00000000" w:rsidR="00000000" w:rsidRPr="00000000">
        <w:rPr>
          <w:rtl w:val="0"/>
        </w:rPr>
      </w:r>
    </w:p>
    <w:p w:rsidR="00000000" w:rsidDel="00000000" w:rsidP="00000000" w:rsidRDefault="00000000" w:rsidRPr="00000000" w14:paraId="0000001A">
      <w:pPr>
        <w:contextualSpacing w:val="0"/>
        <w:rPr/>
      </w:pPr>
      <w:r w:rsidDel="00000000" w:rsidR="00000000" w:rsidRPr="00000000">
        <w:rPr>
          <w:rtl w:val="0"/>
        </w:rPr>
      </w:r>
    </w:p>
    <w:p w:rsidR="00000000" w:rsidDel="00000000" w:rsidP="00000000" w:rsidRDefault="00000000" w:rsidRPr="00000000" w14:paraId="0000001B">
      <w:pPr>
        <w:contextualSpacing w:val="0"/>
        <w:rPr/>
      </w:pPr>
      <w:r w:rsidDel="00000000" w:rsidR="00000000" w:rsidRPr="00000000">
        <w:rPr>
          <w:rtl w:val="0"/>
        </w:rPr>
      </w:r>
    </w:p>
    <w:p w:rsidR="00000000" w:rsidDel="00000000" w:rsidP="00000000" w:rsidRDefault="00000000" w:rsidRPr="00000000" w14:paraId="0000001C">
      <w:pPr>
        <w:contextualSpacing w:val="0"/>
        <w:rPr/>
      </w:pPr>
      <w:r w:rsidDel="00000000" w:rsidR="00000000" w:rsidRPr="00000000">
        <w:rPr>
          <w:rtl w:val="0"/>
        </w:rPr>
      </w:r>
    </w:p>
    <w:p w:rsidR="00000000" w:rsidDel="00000000" w:rsidP="00000000" w:rsidRDefault="00000000" w:rsidRPr="00000000" w14:paraId="0000001D">
      <w:pPr>
        <w:contextualSpacing w:val="0"/>
        <w:rPr/>
      </w:pPr>
      <w:r w:rsidDel="00000000" w:rsidR="00000000" w:rsidRPr="00000000">
        <w:rPr>
          <w:rtl w:val="0"/>
        </w:rPr>
      </w:r>
    </w:p>
    <w:p w:rsidR="00000000" w:rsidDel="00000000" w:rsidP="00000000" w:rsidRDefault="00000000" w:rsidRPr="00000000" w14:paraId="0000001E">
      <w:pPr>
        <w:contextualSpacing w:val="0"/>
        <w:rPr/>
      </w:pPr>
      <w:r w:rsidDel="00000000" w:rsidR="00000000" w:rsidRPr="00000000">
        <w:rPr>
          <w:rtl w:val="0"/>
        </w:rPr>
      </w:r>
    </w:p>
    <w:p w:rsidR="00000000" w:rsidDel="00000000" w:rsidP="00000000" w:rsidRDefault="00000000" w:rsidRPr="00000000" w14:paraId="0000001F">
      <w:pPr>
        <w:contextualSpacing w:val="0"/>
        <w:rPr/>
      </w:pPr>
      <w:r w:rsidDel="00000000" w:rsidR="00000000" w:rsidRPr="00000000">
        <w:rPr>
          <w:rtl w:val="0"/>
        </w:rPr>
      </w:r>
    </w:p>
    <w:p w:rsidR="00000000" w:rsidDel="00000000" w:rsidP="00000000" w:rsidRDefault="00000000" w:rsidRPr="00000000" w14:paraId="00000020">
      <w:pPr>
        <w:contextualSpacing w:val="0"/>
        <w:rPr/>
      </w:pPr>
      <w:r w:rsidDel="00000000" w:rsidR="00000000" w:rsidRPr="00000000">
        <w:rPr>
          <w:rtl w:val="0"/>
        </w:rPr>
      </w:r>
    </w:p>
    <w:p w:rsidR="00000000" w:rsidDel="00000000" w:rsidP="00000000" w:rsidRDefault="00000000" w:rsidRPr="00000000" w14:paraId="00000021">
      <w:pPr>
        <w:contextualSpacing w:val="0"/>
        <w:rPr/>
      </w:pPr>
      <w:r w:rsidDel="00000000" w:rsidR="00000000" w:rsidRPr="00000000">
        <w:rPr>
          <w:rtl w:val="0"/>
        </w:rPr>
      </w:r>
    </w:p>
    <w:p w:rsidR="00000000" w:rsidDel="00000000" w:rsidP="00000000" w:rsidRDefault="00000000" w:rsidRPr="00000000" w14:paraId="00000022">
      <w:pPr>
        <w:contextualSpacing w:val="0"/>
        <w:rPr/>
      </w:pPr>
      <w:r w:rsidDel="00000000" w:rsidR="00000000" w:rsidRPr="00000000">
        <w:rPr>
          <w:rtl w:val="0"/>
        </w:rPr>
      </w:r>
    </w:p>
    <w:p w:rsidR="00000000" w:rsidDel="00000000" w:rsidP="00000000" w:rsidRDefault="00000000" w:rsidRPr="00000000" w14:paraId="00000023">
      <w:pPr>
        <w:contextualSpacing w:val="0"/>
        <w:rPr/>
      </w:pPr>
      <w:r w:rsidDel="00000000" w:rsidR="00000000" w:rsidRPr="00000000">
        <w:rPr>
          <w:rtl w:val="0"/>
        </w:rPr>
      </w:r>
    </w:p>
    <w:p w:rsidR="00000000" w:rsidDel="00000000" w:rsidP="00000000" w:rsidRDefault="00000000" w:rsidRPr="00000000" w14:paraId="00000024">
      <w:pPr>
        <w:contextualSpacing w:val="0"/>
        <w:rPr/>
      </w:pPr>
      <w:r w:rsidDel="00000000" w:rsidR="00000000" w:rsidRPr="00000000">
        <w:rPr>
          <w:rtl w:val="0"/>
        </w:rPr>
      </w:r>
    </w:p>
    <w:p w:rsidR="00000000" w:rsidDel="00000000" w:rsidP="00000000" w:rsidRDefault="00000000" w:rsidRPr="00000000" w14:paraId="00000025">
      <w:pPr>
        <w:contextualSpacing w:val="0"/>
        <w:rPr/>
      </w:pPr>
      <w:r w:rsidDel="00000000" w:rsidR="00000000" w:rsidRPr="00000000">
        <w:rPr>
          <w:rtl w:val="0"/>
        </w:rPr>
      </w:r>
    </w:p>
    <w:p w:rsidR="00000000" w:rsidDel="00000000" w:rsidP="00000000" w:rsidRDefault="00000000" w:rsidRPr="00000000" w14:paraId="00000026">
      <w:pPr>
        <w:contextualSpacing w:val="0"/>
        <w:rPr/>
      </w:pPr>
      <w:r w:rsidDel="00000000" w:rsidR="00000000" w:rsidRPr="00000000">
        <w:rPr>
          <w:rtl w:val="0"/>
        </w:rPr>
      </w:r>
    </w:p>
    <w:p w:rsidR="00000000" w:rsidDel="00000000" w:rsidP="00000000" w:rsidRDefault="00000000" w:rsidRPr="00000000" w14:paraId="00000027">
      <w:pPr>
        <w:contextualSpacing w:val="0"/>
        <w:rPr/>
      </w:pPr>
      <w:r w:rsidDel="00000000" w:rsidR="00000000" w:rsidRPr="00000000">
        <w:rPr>
          <w:rtl w:val="0"/>
        </w:rPr>
      </w:r>
    </w:p>
    <w:p w:rsidR="00000000" w:rsidDel="00000000" w:rsidP="00000000" w:rsidRDefault="00000000" w:rsidRPr="00000000" w14:paraId="00000028">
      <w:pPr>
        <w:contextualSpacing w:val="0"/>
        <w:rPr/>
      </w:pPr>
      <w:r w:rsidDel="00000000" w:rsidR="00000000" w:rsidRPr="00000000">
        <w:rPr>
          <w:rtl w:val="0"/>
        </w:rPr>
      </w:r>
    </w:p>
    <w:p w:rsidR="00000000" w:rsidDel="00000000" w:rsidP="00000000" w:rsidRDefault="00000000" w:rsidRPr="00000000" w14:paraId="00000029">
      <w:pPr>
        <w:contextualSpacing w:val="0"/>
        <w:rPr/>
      </w:pPr>
      <w:r w:rsidDel="00000000" w:rsidR="00000000" w:rsidRPr="00000000">
        <w:rPr>
          <w:rtl w:val="0"/>
        </w:rPr>
      </w:r>
    </w:p>
    <w:p w:rsidR="00000000" w:rsidDel="00000000" w:rsidP="00000000" w:rsidRDefault="00000000" w:rsidRPr="00000000" w14:paraId="0000002A">
      <w:pPr>
        <w:contextualSpacing w:val="0"/>
        <w:rPr/>
      </w:pPr>
      <w:r w:rsidDel="00000000" w:rsidR="00000000" w:rsidRPr="00000000">
        <w:rPr>
          <w:rtl w:val="0"/>
        </w:rPr>
      </w:r>
    </w:p>
    <w:p w:rsidR="00000000" w:rsidDel="00000000" w:rsidP="00000000" w:rsidRDefault="00000000" w:rsidRPr="00000000" w14:paraId="0000002B">
      <w:pPr>
        <w:contextualSpacing w:val="0"/>
        <w:rPr/>
      </w:pPr>
      <w:r w:rsidDel="00000000" w:rsidR="00000000" w:rsidRPr="00000000">
        <w:rPr>
          <w:rtl w:val="0"/>
        </w:rPr>
      </w:r>
    </w:p>
    <w:p w:rsidR="00000000" w:rsidDel="00000000" w:rsidP="00000000" w:rsidRDefault="00000000" w:rsidRPr="00000000" w14:paraId="0000002C">
      <w:pPr>
        <w:contextualSpacing w:val="0"/>
        <w:rPr/>
      </w:pPr>
      <w:r w:rsidDel="00000000" w:rsidR="00000000" w:rsidRPr="00000000">
        <w:rPr>
          <w:rtl w:val="0"/>
        </w:rPr>
      </w:r>
    </w:p>
    <w:p w:rsidR="00000000" w:rsidDel="00000000" w:rsidP="00000000" w:rsidRDefault="00000000" w:rsidRPr="00000000" w14:paraId="0000002D">
      <w:pPr>
        <w:contextualSpacing w:val="0"/>
        <w:rPr/>
      </w:pPr>
      <w:r w:rsidDel="00000000" w:rsidR="00000000" w:rsidRPr="00000000">
        <w:rPr>
          <w:rtl w:val="0"/>
        </w:rPr>
      </w:r>
    </w:p>
    <w:p w:rsidR="00000000" w:rsidDel="00000000" w:rsidP="00000000" w:rsidRDefault="00000000" w:rsidRPr="00000000" w14:paraId="0000002E">
      <w:pPr>
        <w:shd w:fill="ffffff" w:val="clear"/>
        <w:contextualSpacing w:val="0"/>
        <w:rPr>
          <w:b w:val="1"/>
          <w:sz w:val="28"/>
          <w:szCs w:val="28"/>
        </w:rPr>
      </w:pPr>
      <w:r w:rsidDel="00000000" w:rsidR="00000000" w:rsidRPr="00000000">
        <w:rPr>
          <w:b w:val="1"/>
          <w:sz w:val="28"/>
          <w:szCs w:val="28"/>
          <w:rtl w:val="0"/>
        </w:rPr>
        <w:t xml:space="preserve">Newhall Ranch Cannot Duck Climate Change Analysis</w:t>
      </w:r>
    </w:p>
    <w:p w:rsidR="00000000" w:rsidDel="00000000" w:rsidP="00000000" w:rsidRDefault="00000000" w:rsidRPr="00000000" w14:paraId="0000002F">
      <w:pPr>
        <w:shd w:fill="ffffff" w:val="clear"/>
        <w:contextualSpacing w:val="0"/>
        <w:rPr/>
      </w:pPr>
      <w:r w:rsidDel="00000000" w:rsidR="00000000" w:rsidRPr="00000000">
        <w:rPr>
          <w:rtl w:val="0"/>
        </w:rPr>
        <w:t xml:space="preserve">In order to do its part to minimize the risk of catastrophic impacts from climate change, California has set the target of reducing its greenhouse gas emissions to 1990 levels by 2020 and 80% below 1990 levels by 2050. Newhall Ranch, a proposed new city of over 70,000 people plunked down in open space and wildlife habitats along five miles of the Santa Clara River, is exactly the type of sprawl development that must be curtailed if California is to successfully make the transition to a low-carbon future.</w:t>
      </w:r>
    </w:p>
    <w:p w:rsidR="00000000" w:rsidDel="00000000" w:rsidP="00000000" w:rsidRDefault="00000000" w:rsidRPr="00000000" w14:paraId="00000030">
      <w:pPr>
        <w:shd w:fill="ffffff" w:val="clear"/>
        <w:contextualSpacing w:val="0"/>
        <w:rPr/>
      </w:pPr>
      <w:r w:rsidDel="00000000" w:rsidR="00000000" w:rsidRPr="00000000">
        <w:rPr>
          <w:rtl w:val="0"/>
        </w:rPr>
        <w:t xml:space="preserve">Recent comments submitted by the Center for Biological Diversity on the Newhall Ranch Resource Management and Development Plan Draft Environmental Impact Statement/Environmental Impact Report highlight the project's effort to downplay its serious greenhouse gas impacts under the California Environmental Quality Act (CEQA). The Center pointed out that, in determining that the Project's greenhouse gas impacts are not significant under CEQA rules, the DEIR wrongly uses the criteria: "Will the proposed Project's GHG emissions impede compliance with the GHG emission reductions mandated by AB 32?" Compliance with AB 32, which sets California's short-term emission reduction target of reducing emissions to 1990 levels by 2020, is not the appropriate standard for determining the significance of Newhall Ranch emissions. Instead, the emission reduction targets set forth in AB 32 mark only a first and interim step toward avoiding dangerous climate change. By myopically focusing on AB 32, the Project ignores the long term emission reductions necessary to stabilize the climate. These reductions are significant and must be covered in any CEQA analysis of Newhall Ranch, including the EIS/EIR now under consideration by the Army Corps of Engineers (Corps) and the California Department of Fish and Game (CDFG).</w:t>
      </w:r>
    </w:p>
    <w:p w:rsidR="00000000" w:rsidDel="00000000" w:rsidP="00000000" w:rsidRDefault="00000000" w:rsidRPr="00000000" w14:paraId="00000031">
      <w:pPr>
        <w:shd w:fill="ffffff" w:val="clear"/>
        <w:contextualSpacing w:val="0"/>
        <w:rPr/>
      </w:pPr>
      <w:r w:rsidDel="00000000" w:rsidR="00000000" w:rsidRPr="00000000">
        <w:rPr>
          <w:rtl w:val="0"/>
        </w:rPr>
        <w:t xml:space="preserve">Friends of the Santa Clara River strongly support the Center's arguments, including their request that the Newhall Resource Management Plan Draft EIS/EIR be revised by the Corps and CDFG to reflect actual scientific data on needed emissions reductions and then recirculated for further public comment.</w:t>
      </w:r>
    </w:p>
    <w:p w:rsidR="00000000" w:rsidDel="00000000" w:rsidP="00000000" w:rsidRDefault="00000000" w:rsidRPr="00000000" w14:paraId="00000032">
      <w:pPr>
        <w:contextualSpacing w:val="0"/>
        <w:rPr/>
      </w:pPr>
      <w:r w:rsidDel="00000000" w:rsidR="00000000" w:rsidRPr="00000000">
        <w:rPr>
          <w:rtl w:val="0"/>
        </w:rPr>
      </w:r>
    </w:p>
    <w:p w:rsidR="00000000" w:rsidDel="00000000" w:rsidP="00000000" w:rsidRDefault="00000000" w:rsidRPr="00000000" w14:paraId="00000033">
      <w:pPr>
        <w:contextualSpacing w:val="0"/>
        <w:rPr/>
      </w:pPr>
      <w:r w:rsidDel="00000000" w:rsidR="00000000" w:rsidRPr="00000000">
        <w:rPr>
          <w:rtl w:val="0"/>
        </w:rPr>
      </w:r>
    </w:p>
    <w:p w:rsidR="00000000" w:rsidDel="00000000" w:rsidP="00000000" w:rsidRDefault="00000000" w:rsidRPr="00000000" w14:paraId="00000034">
      <w:pPr>
        <w:contextualSpacing w:val="0"/>
        <w:rPr/>
      </w:pPr>
      <w:r w:rsidDel="00000000" w:rsidR="00000000" w:rsidRPr="00000000">
        <w:rPr>
          <w:rtl w:val="0"/>
        </w:rPr>
      </w:r>
    </w:p>
    <w:p w:rsidR="00000000" w:rsidDel="00000000" w:rsidP="00000000" w:rsidRDefault="00000000" w:rsidRPr="00000000" w14:paraId="00000035">
      <w:pPr>
        <w:contextualSpacing w:val="0"/>
        <w:rPr/>
      </w:pPr>
      <w:r w:rsidDel="00000000" w:rsidR="00000000" w:rsidRPr="00000000">
        <w:rPr>
          <w:rtl w:val="0"/>
        </w:rPr>
      </w:r>
    </w:p>
    <w:p w:rsidR="00000000" w:rsidDel="00000000" w:rsidP="00000000" w:rsidRDefault="00000000" w:rsidRPr="00000000" w14:paraId="00000036">
      <w:pPr>
        <w:contextualSpacing w:val="0"/>
        <w:rPr/>
      </w:pPr>
      <w:r w:rsidDel="00000000" w:rsidR="00000000" w:rsidRPr="00000000">
        <w:rPr>
          <w:rtl w:val="0"/>
        </w:rPr>
      </w:r>
    </w:p>
    <w:p w:rsidR="00000000" w:rsidDel="00000000" w:rsidP="00000000" w:rsidRDefault="00000000" w:rsidRPr="00000000" w14:paraId="00000037">
      <w:pPr>
        <w:contextualSpacing w:val="0"/>
        <w:rPr/>
      </w:pPr>
      <w:r w:rsidDel="00000000" w:rsidR="00000000" w:rsidRPr="00000000">
        <w:rPr>
          <w:rtl w:val="0"/>
        </w:rPr>
      </w:r>
    </w:p>
    <w:p w:rsidR="00000000" w:rsidDel="00000000" w:rsidP="00000000" w:rsidRDefault="00000000" w:rsidRPr="00000000" w14:paraId="00000038">
      <w:pPr>
        <w:contextualSpacing w:val="0"/>
        <w:rPr/>
      </w:pPr>
      <w:r w:rsidDel="00000000" w:rsidR="00000000" w:rsidRPr="00000000">
        <w:rPr>
          <w:rtl w:val="0"/>
        </w:rPr>
      </w:r>
    </w:p>
    <w:p w:rsidR="00000000" w:rsidDel="00000000" w:rsidP="00000000" w:rsidRDefault="00000000" w:rsidRPr="00000000" w14:paraId="00000039">
      <w:pPr>
        <w:contextualSpacing w:val="0"/>
        <w:rPr/>
      </w:pPr>
      <w:r w:rsidDel="00000000" w:rsidR="00000000" w:rsidRPr="00000000">
        <w:rPr>
          <w:rtl w:val="0"/>
        </w:rPr>
      </w:r>
    </w:p>
    <w:p w:rsidR="00000000" w:rsidDel="00000000" w:rsidP="00000000" w:rsidRDefault="00000000" w:rsidRPr="00000000" w14:paraId="0000003A">
      <w:pPr>
        <w:contextualSpacing w:val="0"/>
        <w:rPr/>
      </w:pPr>
      <w:r w:rsidDel="00000000" w:rsidR="00000000" w:rsidRPr="00000000">
        <w:rPr>
          <w:rtl w:val="0"/>
        </w:rPr>
      </w:r>
    </w:p>
    <w:p w:rsidR="00000000" w:rsidDel="00000000" w:rsidP="00000000" w:rsidRDefault="00000000" w:rsidRPr="00000000" w14:paraId="0000003B">
      <w:pPr>
        <w:contextualSpacing w:val="0"/>
        <w:rPr/>
      </w:pPr>
      <w:r w:rsidDel="00000000" w:rsidR="00000000" w:rsidRPr="00000000">
        <w:rPr>
          <w:rtl w:val="0"/>
        </w:rPr>
      </w:r>
    </w:p>
    <w:p w:rsidR="00000000" w:rsidDel="00000000" w:rsidP="00000000" w:rsidRDefault="00000000" w:rsidRPr="00000000" w14:paraId="0000003C">
      <w:pPr>
        <w:contextualSpacing w:val="0"/>
        <w:rPr/>
      </w:pPr>
      <w:r w:rsidDel="00000000" w:rsidR="00000000" w:rsidRPr="00000000">
        <w:rPr>
          <w:rtl w:val="0"/>
        </w:rPr>
      </w:r>
    </w:p>
    <w:p w:rsidR="00000000" w:rsidDel="00000000" w:rsidP="00000000" w:rsidRDefault="00000000" w:rsidRPr="00000000" w14:paraId="0000003D">
      <w:pPr>
        <w:contextualSpacing w:val="0"/>
        <w:rPr/>
      </w:pPr>
      <w:r w:rsidDel="00000000" w:rsidR="00000000" w:rsidRPr="00000000">
        <w:rPr>
          <w:rtl w:val="0"/>
        </w:rPr>
      </w:r>
    </w:p>
    <w:p w:rsidR="00000000" w:rsidDel="00000000" w:rsidP="00000000" w:rsidRDefault="00000000" w:rsidRPr="00000000" w14:paraId="0000003E">
      <w:pPr>
        <w:contextualSpacing w:val="0"/>
        <w:rPr/>
      </w:pPr>
      <w:r w:rsidDel="00000000" w:rsidR="00000000" w:rsidRPr="00000000">
        <w:rPr>
          <w:rtl w:val="0"/>
        </w:rPr>
      </w:r>
    </w:p>
    <w:p w:rsidR="00000000" w:rsidDel="00000000" w:rsidP="00000000" w:rsidRDefault="00000000" w:rsidRPr="00000000" w14:paraId="0000003F">
      <w:pPr>
        <w:contextualSpacing w:val="0"/>
        <w:rPr/>
      </w:pPr>
      <w:r w:rsidDel="00000000" w:rsidR="00000000" w:rsidRPr="00000000">
        <w:rPr>
          <w:rtl w:val="0"/>
        </w:rPr>
      </w:r>
    </w:p>
    <w:p w:rsidR="00000000" w:rsidDel="00000000" w:rsidP="00000000" w:rsidRDefault="00000000" w:rsidRPr="00000000" w14:paraId="00000040">
      <w:pPr>
        <w:contextualSpacing w:val="0"/>
        <w:rPr/>
      </w:pPr>
      <w:r w:rsidDel="00000000" w:rsidR="00000000" w:rsidRPr="00000000">
        <w:rPr>
          <w:rtl w:val="0"/>
        </w:rPr>
      </w:r>
    </w:p>
    <w:p w:rsidR="00000000" w:rsidDel="00000000" w:rsidP="00000000" w:rsidRDefault="00000000" w:rsidRPr="00000000" w14:paraId="00000041">
      <w:pPr>
        <w:contextualSpacing w:val="0"/>
        <w:rPr/>
      </w:pPr>
      <w:r w:rsidDel="00000000" w:rsidR="00000000" w:rsidRPr="00000000">
        <w:rPr>
          <w:rtl w:val="0"/>
        </w:rPr>
      </w:r>
    </w:p>
    <w:p w:rsidR="00000000" w:rsidDel="00000000" w:rsidP="00000000" w:rsidRDefault="00000000" w:rsidRPr="00000000" w14:paraId="00000042">
      <w:pPr>
        <w:shd w:fill="ffffff" w:val="clear"/>
        <w:contextualSpacing w:val="0"/>
        <w:rPr>
          <w:b w:val="1"/>
          <w:sz w:val="28"/>
          <w:szCs w:val="28"/>
        </w:rPr>
      </w:pPr>
      <w:r w:rsidDel="00000000" w:rsidR="00000000" w:rsidRPr="00000000">
        <w:rPr>
          <w:b w:val="1"/>
          <w:sz w:val="28"/>
          <w:szCs w:val="28"/>
          <w:rtl w:val="0"/>
        </w:rPr>
        <w:t xml:space="preserve">Ventura County Compact Presenting Future Scenarios</w:t>
      </w:r>
    </w:p>
    <w:p w:rsidR="00000000" w:rsidDel="00000000" w:rsidP="00000000" w:rsidRDefault="00000000" w:rsidRPr="00000000" w14:paraId="00000043">
      <w:pPr>
        <w:shd w:fill="ffffff" w:val="clear"/>
        <w:contextualSpacing w:val="0"/>
        <w:rPr/>
      </w:pPr>
      <w:r w:rsidDel="00000000" w:rsidR="00000000" w:rsidRPr="00000000">
        <w:rPr>
          <w:rtl w:val="0"/>
        </w:rPr>
        <w:t xml:space="preserve">The Compact for a Sustainable Ventura County project has moved from a first-round public input phase to a process of developing three of four scenarios for the future of the county. This process is governed by a Steering Committee consisting of representatives from the Ventura Council of Governments, the Ventura County Civic Alliance, the Ventura County Transportation Commission, and the Air Pollution Control District. The scenarios will be developed based on the results of workshops held recently in the cities of Ventura, Santa Paula, Oxnard, Camarillo, Thousand Oaks and Simi Valley.</w:t>
      </w:r>
    </w:p>
    <w:p w:rsidR="00000000" w:rsidDel="00000000" w:rsidP="00000000" w:rsidRDefault="00000000" w:rsidRPr="00000000" w14:paraId="00000044">
      <w:pPr>
        <w:shd w:fill="ffffff" w:val="clear"/>
        <w:contextualSpacing w:val="0"/>
        <w:rPr/>
      </w:pPr>
      <w:r w:rsidDel="00000000" w:rsidR="00000000" w:rsidRPr="00000000">
        <w:rPr>
          <w:rtl w:val="0"/>
        </w:rPr>
        <w:t xml:space="preserve">Goals for the Compact include protection of open space and wildlife habitats, creation of an effective multi-modal transportation system, maintaining a diversified and vibrant regional economy, and providing for the housing needs of Ventura County residents.</w:t>
      </w:r>
    </w:p>
    <w:p w:rsidR="00000000" w:rsidDel="00000000" w:rsidP="00000000" w:rsidRDefault="00000000" w:rsidRPr="00000000" w14:paraId="00000045">
      <w:pPr>
        <w:shd w:fill="ffffff" w:val="clear"/>
        <w:contextualSpacing w:val="0"/>
        <w:rPr/>
      </w:pPr>
      <w:r w:rsidDel="00000000" w:rsidR="00000000" w:rsidRPr="00000000">
        <w:rPr>
          <w:rtl w:val="0"/>
        </w:rPr>
        <w:t xml:space="preserve">The scenarios will be presented for public discussion in a series of town hall meetings throughout the County in early 2010.</w:t>
      </w:r>
    </w:p>
    <w:p w:rsidR="00000000" w:rsidDel="00000000" w:rsidP="00000000" w:rsidRDefault="00000000" w:rsidRPr="00000000" w14:paraId="00000046">
      <w:pPr>
        <w:shd w:fill="ffffff" w:val="clear"/>
        <w:contextualSpacing w:val="0"/>
        <w:rPr/>
      </w:pPr>
      <w:r w:rsidDel="00000000" w:rsidR="00000000" w:rsidRPr="00000000">
        <w:rPr>
          <w:rtl w:val="0"/>
        </w:rPr>
        <w:t xml:space="preserve">Watch for announcements of dates and locations for these town hall meetings in the very near future.</w:t>
      </w:r>
    </w:p>
    <w:p w:rsidR="00000000" w:rsidDel="00000000" w:rsidP="00000000" w:rsidRDefault="00000000" w:rsidRPr="00000000" w14:paraId="00000047">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