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pPr>
      <w:r w:rsidDel="00000000" w:rsidR="00000000" w:rsidRPr="00000000">
        <w:rPr>
          <w:rtl w:val="0"/>
        </w:rPr>
      </w:r>
    </w:p>
    <w:tbl>
      <w:tblPr>
        <w:tblStyle w:val="Table1"/>
        <w:tblW w:w="7670.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670"/>
        <w:tblGridChange w:id="0">
          <w:tblGrid>
            <w:gridCol w:w="7670"/>
          </w:tblGrid>
        </w:tblGridChange>
      </w:tblGrid>
      <w:tr>
        <w:trPr>
          <w:trHeight w:val="9540" w:hRule="atLeast"/>
        </w:trPr>
        <w:tc>
          <w:tcPr>
            <w:tcMar>
              <w:top w:w="100.0" w:type="dxa"/>
              <w:left w:w="100.0" w:type="dxa"/>
              <w:bottom w:w="100.0" w:type="dxa"/>
              <w:right w:w="100.0" w:type="dxa"/>
            </w:tcMar>
            <w:vAlign w:val="top"/>
          </w:tcPr>
          <w:p w:rsidR="00000000" w:rsidDel="00000000" w:rsidP="00000000" w:rsidRDefault="00000000" w:rsidRPr="00000000" w14:paraId="00000001">
            <w:pPr>
              <w:contextualSpacing w:val="0"/>
              <w:rPr>
                <w:b w:val="1"/>
                <w:sz w:val="28"/>
                <w:szCs w:val="28"/>
              </w:rPr>
            </w:pPr>
            <w:r w:rsidDel="00000000" w:rsidR="00000000" w:rsidRPr="00000000">
              <w:rPr>
                <w:b w:val="1"/>
                <w:sz w:val="28"/>
                <w:szCs w:val="28"/>
                <w:rtl w:val="0"/>
              </w:rPr>
              <w:t xml:space="preserve">FSCR Board of Directors Establishes</w:t>
            </w:r>
          </w:p>
          <w:p w:rsidR="00000000" w:rsidDel="00000000" w:rsidP="00000000" w:rsidRDefault="00000000" w:rsidRPr="00000000" w14:paraId="00000002">
            <w:pPr>
              <w:contextualSpacing w:val="0"/>
              <w:rPr>
                <w:b w:val="1"/>
                <w:sz w:val="28"/>
                <w:szCs w:val="28"/>
              </w:rPr>
            </w:pPr>
            <w:r w:rsidDel="00000000" w:rsidR="00000000" w:rsidRPr="00000000">
              <w:rPr>
                <w:b w:val="1"/>
                <w:sz w:val="28"/>
                <w:szCs w:val="28"/>
                <w:rtl w:val="0"/>
              </w:rPr>
              <w:t xml:space="preserve">a 3-Year Strategic Plan</w:t>
            </w:r>
          </w:p>
          <w:p w:rsidR="00000000" w:rsidDel="00000000" w:rsidP="00000000" w:rsidRDefault="00000000" w:rsidRPr="00000000" w14:paraId="00000003">
            <w:pPr>
              <w:contextualSpacing w:val="0"/>
              <w:rPr/>
            </w:pPr>
            <w:r w:rsidDel="00000000" w:rsidR="00000000" w:rsidRPr="00000000">
              <w:rPr>
                <w:rtl w:val="0"/>
              </w:rPr>
              <w:t xml:space="preserve">On November 23-24, 2002, several members of the Board of Directors of Friends of the Santa Clara River participated in a board retreat and planning session held for the purpose of establishing a 3-year strategic plan. The retreat was held at the La Casa de Maria facility, a lovely oak-forested area in the hills above Montecito with a creek running through it. Board members attending were Ron and Ginnie Bottorff, Barbara Wampole, Jo Rogers, Sandy Hedrick, Richard Sweet, Andy Prokopow, Janet Bergamo and Ileene Anderson. A $2,000 grant from the Compton Foundation and a $2500 grant from the Environmental Support Center covered most retreat costs, with board members contributing the rest. Thanks are due to Barbara Wampole for lining up both grants and for reserving the La Casa de Maria facility. Our facilitator was Marc Smiley of Portland, Oregon.</w:t>
            </w:r>
          </w:p>
          <w:p w:rsidR="00000000" w:rsidDel="00000000" w:rsidP="00000000" w:rsidRDefault="00000000" w:rsidRPr="00000000" w14:paraId="00000004">
            <w:pPr>
              <w:contextualSpacing w:val="0"/>
              <w:rPr/>
            </w:pPr>
            <w:r w:rsidDel="00000000" w:rsidR="00000000" w:rsidRPr="00000000">
              <w:rPr>
                <w:rtl w:val="0"/>
              </w:rPr>
              <w:t xml:space="preserve">The goals and strategies established under the Strategic Plan centered on ensuring that the river and its watershed are managed in an environmentally sound manner, and that the public envisions the river ecosystem as a regional resource, and supports its protection and wise management. Management and restoration of the Hedrick Ranch Nature Area is included in the plan, as well as strategies for maintaining a strong Board of Directors, and establishing the financial base and other infrastructure to sustain the work of the organization.</w:t>
            </w:r>
          </w:p>
          <w:p w:rsidR="00000000" w:rsidDel="00000000" w:rsidP="00000000" w:rsidRDefault="00000000" w:rsidRPr="00000000" w14:paraId="00000005">
            <w:pPr>
              <w:contextualSpacing w:val="0"/>
              <w:rPr/>
            </w:pPr>
            <w:r w:rsidDel="00000000" w:rsidR="00000000" w:rsidRPr="00000000">
              <w:rPr>
                <w:rtl w:val="0"/>
              </w:rPr>
              <w:t xml:space="preserve">The Board followed up the retreat with another planning session at the Hedrick Ranch Nature Area on February 9, 2003, for the purpose of defining specific tasks under the Plan. One of the primary outcomes of the planning session was the establishment of three committees to expedite the work of the organization. The Support Committee, with Barbara Wampole as chair person, will handle public outreach, fundraising, and board development. The Hedrick Ranch Nature Area Steering Committee, with Sandy Hedrick as chair person, will oversee management and restoration activities at HRNA. The Advocacy Committee, with Ron Bottorff as acting chair person, will cover environmental review, legislative campaigns and legal action.</w:t>
            </w:r>
          </w:p>
        </w:tc>
      </w:tr>
    </w:tbl>
    <w:p w:rsidR="00000000" w:rsidDel="00000000" w:rsidP="00000000" w:rsidRDefault="00000000" w:rsidRPr="00000000" w14:paraId="00000006">
      <w:pPr>
        <w:contextualSpacing w:val="0"/>
        <w:rPr/>
      </w:pPr>
      <w:r w:rsidDel="00000000" w:rsidR="00000000" w:rsidRPr="00000000">
        <w:rPr>
          <w:rtl w:val="0"/>
        </w:rPr>
      </w:r>
    </w:p>
    <w:p w:rsidR="00000000" w:rsidDel="00000000" w:rsidP="00000000" w:rsidRDefault="00000000" w:rsidRPr="00000000" w14:paraId="00000007">
      <w:pPr>
        <w:contextualSpacing w:val="0"/>
        <w:rPr/>
      </w:pPr>
      <w:r w:rsidDel="00000000" w:rsidR="00000000" w:rsidRPr="00000000">
        <w:rPr>
          <w:rtl w:val="0"/>
        </w:rPr>
      </w:r>
    </w:p>
    <w:p w:rsidR="00000000" w:rsidDel="00000000" w:rsidP="00000000" w:rsidRDefault="00000000" w:rsidRPr="00000000" w14:paraId="00000008">
      <w:pPr>
        <w:contextualSpacing w:val="0"/>
        <w:rPr/>
      </w:pPr>
      <w:r w:rsidDel="00000000" w:rsidR="00000000" w:rsidRPr="00000000">
        <w:rPr>
          <w:rtl w:val="0"/>
        </w:rPr>
      </w:r>
    </w:p>
    <w:tbl>
      <w:tblPr>
        <w:tblStyle w:val="Table2"/>
        <w:tblW w:w="7670.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670"/>
        <w:tblGridChange w:id="0">
          <w:tblGrid>
            <w:gridCol w:w="7670"/>
          </w:tblGrid>
        </w:tblGridChange>
      </w:tblGrid>
      <w:tr>
        <w:trPr>
          <w:trHeight w:val="28840" w:hRule="atLeast"/>
        </w:trPr>
        <w:tc>
          <w:tcPr>
            <w:tcMar>
              <w:top w:w="100.0" w:type="dxa"/>
              <w:left w:w="100.0" w:type="dxa"/>
              <w:bottom w:w="100.0" w:type="dxa"/>
              <w:right w:w="100.0" w:type="dxa"/>
            </w:tcMar>
            <w:vAlign w:val="top"/>
          </w:tcPr>
          <w:p w:rsidR="00000000" w:rsidDel="00000000" w:rsidP="00000000" w:rsidRDefault="00000000" w:rsidRPr="00000000" w14:paraId="00000009">
            <w:pPr>
              <w:contextualSpacing w:val="0"/>
              <w:rPr>
                <w:b w:val="1"/>
                <w:sz w:val="28"/>
                <w:szCs w:val="28"/>
              </w:rPr>
            </w:pPr>
            <w:r w:rsidDel="00000000" w:rsidR="00000000" w:rsidRPr="00000000">
              <w:rPr>
                <w:b w:val="1"/>
                <w:sz w:val="28"/>
                <w:szCs w:val="28"/>
                <w:rtl w:val="0"/>
              </w:rPr>
              <w:t xml:space="preserve">State of the Environment in Ventura County</w:t>
            </w:r>
          </w:p>
          <w:p w:rsidR="00000000" w:rsidDel="00000000" w:rsidP="00000000" w:rsidRDefault="00000000" w:rsidRPr="00000000" w14:paraId="0000000A">
            <w:pPr>
              <w:contextualSpacing w:val="0"/>
              <w:rPr>
                <w:b w:val="1"/>
                <w:sz w:val="28"/>
                <w:szCs w:val="28"/>
              </w:rPr>
            </w:pPr>
            <w:r w:rsidDel="00000000" w:rsidR="00000000" w:rsidRPr="00000000">
              <w:rPr>
                <w:b w:val="1"/>
                <w:sz w:val="28"/>
                <w:szCs w:val="28"/>
                <w:rtl w:val="0"/>
              </w:rPr>
              <w:t xml:space="preserve">Earthday 2003</w:t>
            </w:r>
          </w:p>
          <w:p w:rsidR="00000000" w:rsidDel="00000000" w:rsidP="00000000" w:rsidRDefault="00000000" w:rsidRPr="00000000" w14:paraId="0000000B">
            <w:pPr>
              <w:contextualSpacing w:val="0"/>
              <w:rPr>
                <w:i w:val="1"/>
              </w:rPr>
            </w:pPr>
            <w:r w:rsidDel="00000000" w:rsidR="00000000" w:rsidRPr="00000000">
              <w:rPr>
                <w:i w:val="1"/>
                <w:rtl w:val="0"/>
              </w:rPr>
              <w:t xml:space="preserve">The following op-ed piece, written by FSCR Chair Ron Bottorff, was carried in the Ventura County Star on April 20, 2002.</w:t>
            </w:r>
          </w:p>
          <w:p w:rsidR="00000000" w:rsidDel="00000000" w:rsidP="00000000" w:rsidRDefault="00000000" w:rsidRPr="00000000" w14:paraId="0000000C">
            <w:pPr>
              <w:contextualSpacing w:val="0"/>
              <w:rPr/>
            </w:pPr>
            <w:r w:rsidDel="00000000" w:rsidR="00000000" w:rsidRPr="00000000">
              <w:rPr>
                <w:rtl w:val="0"/>
              </w:rPr>
              <w:t xml:space="preserve">In assessing the "state of the environment" of our region, one is confronted with a basic difficulty. It is undeniable that past and present Ventura County citizens, as well as humans in general, have been guilty of substantial mismanagement of the environment. It's also true that significant efforts within the region are now being made in repairing some of the damage. Hopefully, such progress will continue and eventually result in an improved regional environment. That we could have done considerably better, had we understood the problem earlier and operated under a more ecologically-aware land ethic, can hardly be contested.</w:t>
            </w:r>
          </w:p>
          <w:p w:rsidR="00000000" w:rsidDel="00000000" w:rsidP="00000000" w:rsidRDefault="00000000" w:rsidRPr="00000000" w14:paraId="0000000D">
            <w:pPr>
              <w:contextualSpacing w:val="0"/>
              <w:rPr/>
            </w:pPr>
            <w:r w:rsidDel="00000000" w:rsidR="00000000" w:rsidRPr="00000000">
              <w:rPr>
                <w:rtl w:val="0"/>
              </w:rPr>
              <w:t xml:space="preserve">The list of regional environmental transgressions is well-known, including air and water pollution, loss of natural habitat on a large scale, destruction of wetlands and river floodplains due to urban and agricultural encroachment, overpumping of aquifers, unwise damming of streams, and depletion of certain Pacific fish stocks caused by over-fishing.</w:t>
            </w:r>
          </w:p>
          <w:p w:rsidR="00000000" w:rsidDel="00000000" w:rsidP="00000000" w:rsidRDefault="00000000" w:rsidRPr="00000000" w14:paraId="0000000E">
            <w:pPr>
              <w:contextualSpacing w:val="0"/>
              <w:rPr/>
            </w:pPr>
            <w:r w:rsidDel="00000000" w:rsidR="00000000" w:rsidRPr="00000000">
              <w:rPr>
                <w:rtl w:val="0"/>
              </w:rPr>
              <w:t xml:space="preserve">Significant strides have been made in reducing the most pervasive air pollutant, ozone. The number of days our county exceeded the federal standard for ozone has dropped from 70 in 1982 to 2 in 2001. We still need improvement, however, to meet the federal standard, which requires that the one-hour ozone limit not be exceeded more than three times over three consecutive years. Particulate pollution remains a significant issue, especially considering the recent discovery of the harmful effects of very tiny particles (about one-tenth of a micron in diameter) which are carried in vehicle exhaust.</w:t>
            </w:r>
          </w:p>
          <w:p w:rsidR="00000000" w:rsidDel="00000000" w:rsidP="00000000" w:rsidRDefault="00000000" w:rsidRPr="00000000" w14:paraId="0000000F">
            <w:pPr>
              <w:contextualSpacing w:val="0"/>
              <w:rPr/>
            </w:pPr>
            <w:r w:rsidDel="00000000" w:rsidR="00000000" w:rsidRPr="00000000">
              <w:rPr>
                <w:rtl w:val="0"/>
              </w:rPr>
              <w:t xml:space="preserve">Our groundwater quality is generally good, with some exceptions, due in part to the fact that our county does not have the concentration of industrial facilities that has led to contamination in nearby counties. The former Rocketdyne plant in the Simi Hills is an exception, as is the Halaco plant near Ormond Beach. Both are high priority for cleanup. In the Calleguas watershed, construction of a so-called "brineline" to carry excess salt to the sea, should eventually relieve that watershed's excessive chloride problem. The county has a strong program for reduction of contaminants from stormwater runoff, using techniques such as catchment basins and cleanup of parking areas. Water quality problems in the The Santa Clara River, primarily associated with nutrients and chlorides, are being addressed through a series of regulatory actions by the Regional Water Quality Control Board.</w:t>
            </w:r>
          </w:p>
          <w:p w:rsidR="00000000" w:rsidDel="00000000" w:rsidP="00000000" w:rsidRDefault="00000000" w:rsidRPr="00000000" w14:paraId="00000010">
            <w:pPr>
              <w:contextualSpacing w:val="0"/>
              <w:rPr/>
            </w:pPr>
            <w:r w:rsidDel="00000000" w:rsidR="00000000" w:rsidRPr="00000000">
              <w:rPr>
                <w:rtl w:val="0"/>
              </w:rPr>
              <w:t xml:space="preserve">Diversion of Santa Clara River flow to control seawater intrusion under the Oxnard Plain has been generally successful, albeit at the price of losing the historic steelhead runs in the river. Efforts to recover the steelhead are underway and will primarily involve improvements in fishladder operation at the Freeman Diversion. The eventual removal of Matilija Dam and the construction of a fishladder at the Robles Diversion should lead to restoration of steelhead runs in the Ventura River and an improvement in sand replenishment along Ventura beaches.</w:t>
            </w:r>
          </w:p>
          <w:p w:rsidR="00000000" w:rsidDel="00000000" w:rsidP="00000000" w:rsidRDefault="00000000" w:rsidRPr="00000000" w14:paraId="00000011">
            <w:pPr>
              <w:contextualSpacing w:val="0"/>
              <w:rPr/>
            </w:pPr>
            <w:r w:rsidDel="00000000" w:rsidR="00000000" w:rsidRPr="00000000">
              <w:rPr>
                <w:rtl w:val="0"/>
              </w:rPr>
              <w:t xml:space="preserve">Several miles of Piru Creek, Sespe Creek, and Matilija Creek could be given Wild and Scenic River status under the California Wild Heritage Act, to be re-introduced in the Congress by Senator Boxer on Earth Day. Thousands of acres of wilderness in Los Padres National Forest would also be established should this bill become law.</w:t>
            </w:r>
          </w:p>
          <w:p w:rsidR="00000000" w:rsidDel="00000000" w:rsidP="00000000" w:rsidRDefault="00000000" w:rsidRPr="00000000" w14:paraId="00000012">
            <w:pPr>
              <w:contextualSpacing w:val="0"/>
              <w:rPr/>
            </w:pPr>
            <w:r w:rsidDel="00000000" w:rsidR="00000000" w:rsidRPr="00000000">
              <w:rPr>
                <w:rtl w:val="0"/>
              </w:rPr>
              <w:t xml:space="preserve">Loss of wetlands and river floodplains are being addressed through the efforts of several conservancies. The State Coastal Conservancy has now protected almost 600 acres of Ormond Beach, with the possibility of protecting an additional 200 acres. The Conservancy has also begun implementation of its Santa Clara River Parkway project which will protect and restore about 6,000 acres of river floodplain and terrace lands, stretching from the estuary almost to Fillmore. The Ojai Valley Land Conservancy has done an outstanding job of land conservation in the Ojai area, including most recently the planned aquisition of over 1500 acres of the Intell Property. Significant progress has been made in setting up a Ventura County Open Space District. Authorizing legislation is in place and an Advisory Committee is now completing its report to County Supervisors on the best means to create, fund and govern the district.</w:t>
            </w:r>
          </w:p>
          <w:p w:rsidR="00000000" w:rsidDel="00000000" w:rsidP="00000000" w:rsidRDefault="00000000" w:rsidRPr="00000000" w14:paraId="00000013">
            <w:pPr>
              <w:contextualSpacing w:val="0"/>
              <w:rPr/>
            </w:pPr>
            <w:r w:rsidDel="00000000" w:rsidR="00000000" w:rsidRPr="00000000">
              <w:rPr>
                <w:rtl w:val="0"/>
              </w:rPr>
              <w:t xml:space="preserve">Offshore, the recent establishment of the Channel Islands National Marine Sanctuary affords hope that severely depleted fish species will begin to recover, and support the return of a more profitable, while at the same time more environmentally aware, fishing industry.</w:t>
            </w:r>
          </w:p>
          <w:p w:rsidR="00000000" w:rsidDel="00000000" w:rsidP="00000000" w:rsidRDefault="00000000" w:rsidRPr="00000000" w14:paraId="00000014">
            <w:pPr>
              <w:contextualSpacing w:val="0"/>
              <w:rPr/>
            </w:pPr>
            <w:r w:rsidDel="00000000" w:rsidR="00000000" w:rsidRPr="00000000">
              <w:rPr>
                <w:rtl w:val="0"/>
              </w:rPr>
              <w:t xml:space="preserve">One of the most potentially harmful threats to our environment remains urban sprawl, with its inefficient and unsustainable land use and transportation patterns. The advent of the SOAR initiatives in the late 1990s has, as conceded even by its opponents, given us a "window of opportunity" to envision and create an improved pattern of development in the county. Such a pattern, to be successful, must incorporate many of the principles of the "smart growth" movement, such as mixed-use development, infill projects, and less auto-dependent communities. Involvement of citizens in future growth planning has proved successful in Ventura's "Vision 2020" project and could be extended county-wide through programs of the Regional Civic Alliance for Ventura County.</w:t>
            </w:r>
          </w:p>
          <w:p w:rsidR="00000000" w:rsidDel="00000000" w:rsidP="00000000" w:rsidRDefault="00000000" w:rsidRPr="00000000" w14:paraId="00000015">
            <w:pPr>
              <w:contextualSpacing w:val="0"/>
              <w:rPr/>
            </w:pPr>
            <w:r w:rsidDel="00000000" w:rsidR="00000000" w:rsidRPr="00000000">
              <w:rPr>
                <w:rtl w:val="0"/>
              </w:rPr>
              <w:t xml:space="preserve">For the most part, the above constitutes a moderately hopeful regional picture. Considering the big picture, however, Ventura County citizens are part of a "first world" pattern of high consumption of materials and use of non-renewable energy sources that is placing immense stresses on the planetary ecosystem. If we and our fellow citizens prove incapable of adjusting relatively quickly to the realities of the Earth's carrying capacity, our progeny have scarce hope of avoiding an ecologically degraded planet and a reduced quality of life. Nothing in the national picture at present affords hope. The Bush administration has given no indication that it understands the urgency in conversion to renewable energy, conserving what remains of our natural resources, and cooperating with the rest of the world in achieving sustainable development and a decent quality of life for everyone on the planet. This is the most critical problem we face, one needing much more attention from our civic and political leaders.</w:t>
            </w:r>
          </w:p>
        </w:tc>
      </w:tr>
    </w:tbl>
    <w:p w:rsidR="00000000" w:rsidDel="00000000" w:rsidP="00000000" w:rsidRDefault="00000000" w:rsidRPr="00000000" w14:paraId="00000016">
      <w:pPr>
        <w:contextualSpacing w:val="0"/>
        <w:rPr/>
      </w:pPr>
      <w:r w:rsidDel="00000000" w:rsidR="00000000" w:rsidRPr="00000000">
        <w:rPr>
          <w:rtl w:val="0"/>
        </w:rPr>
      </w:r>
    </w:p>
    <w:p w:rsidR="00000000" w:rsidDel="00000000" w:rsidP="00000000" w:rsidRDefault="00000000" w:rsidRPr="00000000" w14:paraId="00000017">
      <w:pPr>
        <w:contextualSpacing w:val="0"/>
        <w:rPr/>
      </w:pPr>
      <w:r w:rsidDel="00000000" w:rsidR="00000000" w:rsidRPr="00000000">
        <w:rPr>
          <w:rtl w:val="0"/>
        </w:rPr>
      </w:r>
    </w:p>
    <w:p w:rsidR="00000000" w:rsidDel="00000000" w:rsidP="00000000" w:rsidRDefault="00000000" w:rsidRPr="00000000" w14:paraId="00000018">
      <w:pPr>
        <w:contextualSpacing w:val="0"/>
        <w:rPr/>
      </w:pPr>
      <w:r w:rsidDel="00000000" w:rsidR="00000000" w:rsidRPr="00000000">
        <w:rPr>
          <w:rtl w:val="0"/>
        </w:rPr>
      </w:r>
    </w:p>
    <w:tbl>
      <w:tblPr>
        <w:tblStyle w:val="Table3"/>
        <w:tblW w:w="7885.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370"/>
        <w:gridCol w:w="3515"/>
        <w:tblGridChange w:id="0">
          <w:tblGrid>
            <w:gridCol w:w="4370"/>
            <w:gridCol w:w="3515"/>
          </w:tblGrid>
        </w:tblGridChange>
      </w:tblGrid>
      <w:tr>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r>
          </w:p>
        </w:tc>
      </w:tr>
      <w:tr>
        <w:trPr>
          <w:trHeight w:val="15680" w:hRule="atLeast"/>
        </w:trPr>
        <w:tc>
          <w:tcPr>
            <w:tcMar>
              <w:top w:w="100.0" w:type="dxa"/>
              <w:left w:w="100.0" w:type="dxa"/>
              <w:bottom w:w="100.0" w:type="dxa"/>
              <w:right w:w="100.0" w:type="dxa"/>
            </w:tcMar>
            <w:vAlign w:val="top"/>
          </w:tcPr>
          <w:p w:rsidR="00000000" w:rsidDel="00000000" w:rsidP="00000000" w:rsidRDefault="00000000" w:rsidRPr="00000000" w14:paraId="0000001B">
            <w:pPr>
              <w:contextualSpacing w:val="0"/>
              <w:rPr/>
            </w:pPr>
            <w:r w:rsidDel="00000000" w:rsidR="00000000" w:rsidRPr="00000000">
              <w:rPr>
                <w:rtl w:val="0"/>
              </w:rPr>
            </w:r>
          </w:p>
          <w:p w:rsidR="00000000" w:rsidDel="00000000" w:rsidP="00000000" w:rsidRDefault="00000000" w:rsidRPr="00000000" w14:paraId="0000001C">
            <w:pPr>
              <w:contextualSpacing w:val="0"/>
              <w:rPr>
                <w:b w:val="1"/>
                <w:sz w:val="28"/>
                <w:szCs w:val="28"/>
              </w:rPr>
            </w:pPr>
            <w:r w:rsidDel="00000000" w:rsidR="00000000" w:rsidRPr="00000000">
              <w:rPr>
                <w:b w:val="1"/>
                <w:sz w:val="28"/>
                <w:szCs w:val="28"/>
                <w:rtl w:val="0"/>
              </w:rPr>
              <w:t xml:space="preserve">Newhall Ranch Approved (Again!)</w:t>
            </w:r>
          </w:p>
          <w:p w:rsidR="00000000" w:rsidDel="00000000" w:rsidP="00000000" w:rsidRDefault="00000000" w:rsidRPr="00000000" w14:paraId="0000001D">
            <w:pPr>
              <w:contextualSpacing w:val="0"/>
              <w:rPr>
                <w:b w:val="1"/>
                <w:sz w:val="28"/>
                <w:szCs w:val="28"/>
              </w:rPr>
            </w:pPr>
            <w:r w:rsidDel="00000000" w:rsidR="00000000" w:rsidRPr="00000000">
              <w:rPr>
                <w:b w:val="1"/>
                <w:sz w:val="28"/>
                <w:szCs w:val="28"/>
                <w:rtl w:val="0"/>
              </w:rPr>
              <w:t xml:space="preserve">by Los Angeles County Board of Supervisors</w:t>
            </w:r>
          </w:p>
          <w:p w:rsidR="00000000" w:rsidDel="00000000" w:rsidP="00000000" w:rsidRDefault="00000000" w:rsidRPr="00000000" w14:paraId="0000001E">
            <w:pPr>
              <w:contextualSpacing w:val="0"/>
              <w:rPr/>
            </w:pPr>
            <w:r w:rsidDel="00000000" w:rsidR="00000000" w:rsidRPr="00000000">
              <w:rPr>
                <w:rtl w:val="0"/>
              </w:rPr>
              <w:t xml:space="preserve">On May 27, as expected, The Los Angeles County Board of Supervisers approved the Newhall Ranch Project for the second time. Supervisor Zev Yaroslavsky, who had previously voted in favor of the project, was the only dissenting vote, citing the continuation of urban sprawl as "one of the biggest, if not the biggest, environmental issues we face as a region." Friends of the Santa Clara River believes Supervisor Yaroslavsky has it exactly right, and laments that more decision makers cannot see, or at least cannot bring themselves to address, the urban sprawl problem represented by such massive projects.</w:t>
            </w:r>
          </w:p>
          <w:p w:rsidR="00000000" w:rsidDel="00000000" w:rsidP="00000000" w:rsidRDefault="00000000" w:rsidRPr="00000000" w14:paraId="0000001F">
            <w:pPr>
              <w:contextualSpacing w:val="0"/>
              <w:rPr/>
            </w:pPr>
            <w:r w:rsidDel="00000000" w:rsidR="00000000" w:rsidRPr="00000000">
              <w:rPr>
                <w:rtl w:val="0"/>
              </w:rPr>
              <w:t xml:space="preserve">The project encompasses 20,885 homes, straddles 5 miles of the Santa Clara River, and will require construction of three new bridges across the river. On the only upnote, Newhall has apparently agreed to give Ventura County 1500 acres of open space adjacent to the project to protect the Salt Creek wildlife corridor.</w:t>
            </w:r>
          </w:p>
          <w:p w:rsidR="00000000" w:rsidDel="00000000" w:rsidP="00000000" w:rsidRDefault="00000000" w:rsidRPr="00000000" w14:paraId="00000020">
            <w:pPr>
              <w:contextualSpacing w:val="0"/>
              <w:rPr/>
            </w:pPr>
            <w:r w:rsidDel="00000000" w:rsidR="00000000" w:rsidRPr="00000000">
              <w:rPr>
                <w:rtl w:val="0"/>
              </w:rPr>
              <w:t xml:space="preserve">Friends has opposed Newhall Ranch since environmental review first began in 1996 and is a litigant against the project, along with the Sierra Club and the Santa Clarita Organization for Planning and the Environment.</w:t>
            </w:r>
          </w:p>
          <w:p w:rsidR="00000000" w:rsidDel="00000000" w:rsidP="00000000" w:rsidRDefault="00000000" w:rsidRPr="00000000" w14:paraId="00000021">
            <w:pPr>
              <w:contextualSpacing w:val="0"/>
              <w:rPr/>
            </w:pPr>
            <w:r w:rsidDel="00000000" w:rsidR="00000000" w:rsidRPr="00000000">
              <w:rPr>
                <w:rtl w:val="0"/>
              </w:rPr>
              <w:t xml:space="preserve">Approval by the Supervisors now sends the project back to the Bakersfield Superior Court of Judge Roger D. Randall, who in 1999 ordered significant revision of the project's Environmental Impact Report, most notably relating to the issues of water supply and the impacts of bank protection on the Santa Clara River. Friends and others have argued extensively before the Supervisors that neither issue has been adequately addressed in the revised analyses, and will make this argument again when the court process re-starts. Legal action by other groups is also in the offing, as a result of Newhall's destruction of several acres of the endangered San Fernando Valley spineflower.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contextualSpacing w:val="0"/>
              <w:rPr/>
            </w:pPr>
            <w:r w:rsidDel="00000000" w:rsidR="00000000" w:rsidRPr="00000000">
              <w:rPr>
                <w:rtl w:val="0"/>
              </w:rPr>
            </w:r>
          </w:p>
        </w:tc>
      </w:tr>
      <w:tr>
        <w:trPr>
          <w:trHeight w:val="340" w:hRule="atLeast"/>
        </w:trPr>
        <w:tc>
          <w:tcPr>
            <w:gridSpan w:val="2"/>
            <w:tcMar>
              <w:top w:w="100.0" w:type="dxa"/>
              <w:left w:w="100.0" w:type="dxa"/>
              <w:bottom w:w="100.0" w:type="dxa"/>
              <w:right w:w="100.0" w:type="dxa"/>
            </w:tcMar>
            <w:vAlign w:val="top"/>
          </w:tcPr>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r>
          </w:p>
        </w:tc>
      </w:tr>
      <w:tr>
        <w:trPr>
          <w:trHeight w:val="20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2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pPr>
            <w:r w:rsidDel="00000000" w:rsidR="00000000" w:rsidRPr="00000000">
              <w:rPr>
                <w:rtl w:val="0"/>
              </w:rPr>
            </w:r>
          </w:p>
        </w:tc>
      </w:tr>
    </w:tbl>
    <w:p w:rsidR="00000000" w:rsidDel="00000000" w:rsidP="00000000" w:rsidRDefault="00000000" w:rsidRPr="00000000" w14:paraId="00000027">
      <w:pPr>
        <w:contextualSpacing w:val="0"/>
        <w:rPr/>
      </w:pPr>
      <w:r w:rsidDel="00000000" w:rsidR="00000000" w:rsidRPr="00000000">
        <w:rPr>
          <w:rtl w:val="0"/>
        </w:rPr>
      </w:r>
    </w:p>
    <w:p w:rsidR="00000000" w:rsidDel="00000000" w:rsidP="00000000" w:rsidRDefault="00000000" w:rsidRPr="00000000" w14:paraId="00000028">
      <w:pPr>
        <w:contextualSpacing w:val="0"/>
        <w:rPr/>
      </w:pPr>
      <w:r w:rsidDel="00000000" w:rsidR="00000000" w:rsidRPr="00000000">
        <w:rPr>
          <w:rtl w:val="0"/>
        </w:rPr>
      </w:r>
    </w:p>
    <w:p w:rsidR="00000000" w:rsidDel="00000000" w:rsidP="00000000" w:rsidRDefault="00000000" w:rsidRPr="00000000" w14:paraId="00000029">
      <w:pPr>
        <w:contextualSpacing w:val="0"/>
        <w:rPr/>
      </w:pPr>
      <w:r w:rsidDel="00000000" w:rsidR="00000000" w:rsidRPr="00000000">
        <w:rPr>
          <w:rtl w:val="0"/>
        </w:rPr>
      </w:r>
    </w:p>
    <w:tbl>
      <w:tblPr>
        <w:tblStyle w:val="Table4"/>
        <w:tblW w:w="7670.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670"/>
        <w:tblGridChange w:id="0">
          <w:tblGrid>
            <w:gridCol w:w="7670"/>
          </w:tblGrid>
        </w:tblGridChange>
      </w:tblGrid>
      <w:tr>
        <w:trPr>
          <w:trHeight w:val="10060" w:hRule="atLeast"/>
        </w:trPr>
        <w:tc>
          <w:tcPr>
            <w:tcMar>
              <w:top w:w="100.0" w:type="dxa"/>
              <w:left w:w="100.0" w:type="dxa"/>
              <w:bottom w:w="100.0" w:type="dxa"/>
              <w:right w:w="100.0" w:type="dxa"/>
            </w:tcMar>
            <w:vAlign w:val="top"/>
          </w:tcPr>
          <w:p w:rsidR="00000000" w:rsidDel="00000000" w:rsidP="00000000" w:rsidRDefault="00000000" w:rsidRPr="00000000" w14:paraId="0000002A">
            <w:pPr>
              <w:contextualSpacing w:val="0"/>
              <w:rPr>
                <w:b w:val="1"/>
                <w:sz w:val="28"/>
                <w:szCs w:val="28"/>
              </w:rPr>
            </w:pPr>
            <w:r w:rsidDel="00000000" w:rsidR="00000000" w:rsidRPr="00000000">
              <w:rPr>
                <w:b w:val="1"/>
                <w:sz w:val="28"/>
                <w:szCs w:val="28"/>
                <w:rtl w:val="0"/>
              </w:rPr>
              <w:t xml:space="preserve">Restoration Funding Sought</w:t>
            </w:r>
          </w:p>
          <w:p w:rsidR="00000000" w:rsidDel="00000000" w:rsidP="00000000" w:rsidRDefault="00000000" w:rsidRPr="00000000" w14:paraId="0000002B">
            <w:pPr>
              <w:contextualSpacing w:val="0"/>
              <w:rPr>
                <w:b w:val="1"/>
                <w:sz w:val="28"/>
                <w:szCs w:val="28"/>
              </w:rPr>
            </w:pPr>
            <w:r w:rsidDel="00000000" w:rsidR="00000000" w:rsidRPr="00000000">
              <w:rPr>
                <w:b w:val="1"/>
                <w:sz w:val="28"/>
                <w:szCs w:val="28"/>
                <w:rtl w:val="0"/>
              </w:rPr>
              <w:t xml:space="preserve">for Hedrick Ranch Nature Area</w:t>
            </w:r>
          </w:p>
          <w:p w:rsidR="00000000" w:rsidDel="00000000" w:rsidP="00000000" w:rsidRDefault="00000000" w:rsidRPr="00000000" w14:paraId="0000002C">
            <w:pPr>
              <w:contextualSpacing w:val="0"/>
              <w:rPr/>
            </w:pPr>
            <w:r w:rsidDel="00000000" w:rsidR="00000000" w:rsidRPr="00000000">
              <w:rPr>
                <w:rtl w:val="0"/>
              </w:rPr>
              <w:t xml:space="preserve">FSCR became stewards of the Hedrick Ranch Nature Area (HRNA) in 2001 after acquistion of the 220-acre floodplain property by the California State Coastal Conservancy (see map). The acquisition by the Conservancy was the first under its Santa Clara River Parkway project, which will eventually protect over 6,000 acres of river floodplain and terrace lands. With the HRNA Management and Restoration Plan now complete, FSCR has begun working with the Southern Califonia Wetlands Recovery Project (SCWRP) and other potential funders to acquire necessary funding for the highest priority restoration tasks.</w:t>
            </w:r>
          </w:p>
          <w:p w:rsidR="00000000" w:rsidDel="00000000" w:rsidP="00000000" w:rsidRDefault="00000000" w:rsidRPr="00000000" w14:paraId="0000002D">
            <w:pPr>
              <w:contextualSpacing w:val="0"/>
              <w:rPr/>
            </w:pPr>
            <w:r w:rsidDel="00000000" w:rsidR="00000000" w:rsidRPr="00000000">
              <w:rPr>
                <w:rtl w:val="0"/>
              </w:rPr>
              <w:t xml:space="preserve">The HRNA Management and Restoration Plan includes multiple elements covering invasive and alien plant control, wetlands enhancement, riparian enhancement, upland revegetation, wildlife habitat enhancement, sediment management, and long-term monitoring and maintenance. Sandy Hedrick, who manages the adjacent Valley View Ranch and heads the FSCR's HRNA Steering Committee, will work with the Committee and environmental consultants in defining specific restoration tasks, acquiring grant funds, and overseeing the restoration work.</w:t>
            </w:r>
          </w:p>
          <w:p w:rsidR="00000000" w:rsidDel="00000000" w:rsidP="00000000" w:rsidRDefault="00000000" w:rsidRPr="00000000" w14:paraId="0000002E">
            <w:pPr>
              <w:contextualSpacing w:val="0"/>
              <w:rPr/>
            </w:pPr>
            <w:r w:rsidDel="00000000" w:rsidR="00000000" w:rsidRPr="00000000">
              <w:rPr>
                <w:rtl w:val="0"/>
              </w:rPr>
              <w:t xml:space="preserve">The current plan calls for installation of approximately 1,000 feet of biotechnical bank protection to preclude washout of newly-planted vegetation, such as willows and cottonwoods, which could otherwise be lost to flooding. Some elements of the plan will require permits from federal and state agencies, such as the U.S. Army Corps of Engineers and the California Department of Fish and Game. Some delays are anticipated in starting work elements for which permits are required. Development of public access facilities - parking areas, a kiosk, and nature trails - are included as tasks under current project planning with the SCWRP.</w:t>
            </w:r>
          </w:p>
          <w:p w:rsidR="00000000" w:rsidDel="00000000" w:rsidP="00000000" w:rsidRDefault="00000000" w:rsidRPr="00000000" w14:paraId="0000002F">
            <w:pPr>
              <w:contextualSpacing w:val="0"/>
              <w:rPr/>
            </w:pPr>
            <w:r w:rsidDel="00000000" w:rsidR="00000000" w:rsidRPr="00000000">
              <w:rPr>
                <w:rtl w:val="0"/>
              </w:rPr>
              <w:t xml:space="preserve">A volunteer program is planned for the near future to carry out some of the early weed eradication efforts. It is hoped that volunteers will also be available to do much of the planting as well as monitoring and maintenance work on the property.</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0">
            <w:pPr>
              <w:contextualSpacing w:val="0"/>
              <w:rPr/>
            </w:pPr>
            <w:r w:rsidDel="00000000" w:rsidR="00000000" w:rsidRPr="00000000">
              <w:rPr>
                <w:rtl w:val="0"/>
              </w:rPr>
            </w:r>
          </w:p>
        </w:tc>
      </w:tr>
    </w:tbl>
    <w:p w:rsidR="00000000" w:rsidDel="00000000" w:rsidP="00000000" w:rsidRDefault="00000000" w:rsidRPr="00000000" w14:paraId="00000031">
      <w:pPr>
        <w:contextualSpacing w:val="0"/>
        <w:rPr/>
      </w:pPr>
      <w:r w:rsidDel="00000000" w:rsidR="00000000" w:rsidRPr="00000000">
        <w:rPr>
          <w:rtl w:val="0"/>
        </w:rPr>
      </w:r>
    </w:p>
    <w:p w:rsidR="00000000" w:rsidDel="00000000" w:rsidP="00000000" w:rsidRDefault="00000000" w:rsidRPr="00000000" w14:paraId="00000032">
      <w:pPr>
        <w:contextualSpacing w:val="0"/>
        <w:rPr/>
      </w:pPr>
      <w:r w:rsidDel="00000000" w:rsidR="00000000" w:rsidRPr="00000000">
        <w:rPr>
          <w:rtl w:val="0"/>
        </w:rPr>
      </w:r>
    </w:p>
    <w:tbl>
      <w:tblPr>
        <w:tblStyle w:val="Table5"/>
        <w:tblW w:w="7670.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670"/>
        <w:tblGridChange w:id="0">
          <w:tblGrid>
            <w:gridCol w:w="7670"/>
          </w:tblGrid>
        </w:tblGridChange>
      </w:tblGrid>
      <w:tr>
        <w:trPr>
          <w:trHeight w:val="4600" w:hRule="atLeast"/>
        </w:trPr>
        <w:tc>
          <w:tcPr>
            <w:tcMar>
              <w:top w:w="100.0" w:type="dxa"/>
              <w:left w:w="100.0" w:type="dxa"/>
              <w:bottom w:w="100.0" w:type="dxa"/>
              <w:right w:w="100.0" w:type="dxa"/>
            </w:tcMar>
            <w:vAlign w:val="top"/>
          </w:tcPr>
          <w:p w:rsidR="00000000" w:rsidDel="00000000" w:rsidP="00000000" w:rsidRDefault="00000000" w:rsidRPr="00000000" w14:paraId="00000033">
            <w:pPr>
              <w:contextualSpacing w:val="0"/>
              <w:rPr>
                <w:b w:val="1"/>
                <w:sz w:val="28"/>
                <w:szCs w:val="28"/>
              </w:rPr>
            </w:pPr>
            <w:r w:rsidDel="00000000" w:rsidR="00000000" w:rsidRPr="00000000">
              <w:rPr>
                <w:b w:val="1"/>
                <w:sz w:val="28"/>
                <w:szCs w:val="28"/>
                <w:rtl w:val="0"/>
              </w:rPr>
              <w:t xml:space="preserve">FSCR Receives $5,000 Grant</w:t>
            </w:r>
          </w:p>
          <w:p w:rsidR="00000000" w:rsidDel="00000000" w:rsidP="00000000" w:rsidRDefault="00000000" w:rsidRPr="00000000" w14:paraId="00000034">
            <w:pPr>
              <w:contextualSpacing w:val="0"/>
              <w:rPr>
                <w:b w:val="1"/>
                <w:sz w:val="28"/>
                <w:szCs w:val="28"/>
              </w:rPr>
            </w:pPr>
            <w:r w:rsidDel="00000000" w:rsidR="00000000" w:rsidRPr="00000000">
              <w:rPr>
                <w:b w:val="1"/>
                <w:sz w:val="28"/>
                <w:szCs w:val="28"/>
                <w:rtl w:val="0"/>
              </w:rPr>
              <w:t xml:space="preserve">from the Tides Foundation</w:t>
            </w:r>
          </w:p>
          <w:p w:rsidR="00000000" w:rsidDel="00000000" w:rsidP="00000000" w:rsidRDefault="00000000" w:rsidRPr="00000000" w14:paraId="00000035">
            <w:pPr>
              <w:contextualSpacing w:val="0"/>
              <w:rPr/>
            </w:pPr>
            <w:r w:rsidDel="00000000" w:rsidR="00000000" w:rsidRPr="00000000">
              <w:rPr>
                <w:rtl w:val="0"/>
              </w:rPr>
              <w:t xml:space="preserve">The Tides Foundation, under its California Wildlands Grassroots Fund, on June 5, 2003, awarded friends of the Santa Clara River a $5,000 grant for the purpose of developing a color brochure on the River and for conducting biological surveys in the River corridor. Biologists have been employed by FSCR in the past for such surveys and have found species in areas where developer-sponsored other surveys have reported none.</w:t>
            </w:r>
          </w:p>
          <w:p w:rsidR="00000000" w:rsidDel="00000000" w:rsidP="00000000" w:rsidRDefault="00000000" w:rsidRPr="00000000" w14:paraId="00000036">
            <w:pPr>
              <w:contextualSpacing w:val="0"/>
              <w:rPr/>
            </w:pPr>
            <w:r w:rsidDel="00000000" w:rsidR="00000000" w:rsidRPr="00000000">
              <w:rPr>
                <w:rtl w:val="0"/>
              </w:rPr>
              <w:t xml:space="preserve">The goal of these efforts is directly in line with the mission of FSCR in protecting the biological resources of the Santa Clara River. The specific objectives of work under the grant will be to achieve more effective environmental review of development projects, and to improve chances of obtaining project revisions and larger riparian buffer zones to reduce impacts to wildlife, as well as to achieve appropriate mitigation for project impacts.</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37">
            <w:pPr>
              <w:contextualSpacing w:val="0"/>
              <w:rPr/>
            </w:pPr>
            <w:r w:rsidDel="00000000" w:rsidR="00000000" w:rsidRPr="00000000">
              <w:rPr>
                <w:rtl w:val="0"/>
              </w:rPr>
            </w:r>
          </w:p>
        </w:tc>
      </w:tr>
    </w:tbl>
    <w:p w:rsidR="00000000" w:rsidDel="00000000" w:rsidP="00000000" w:rsidRDefault="00000000" w:rsidRPr="00000000" w14:paraId="00000038">
      <w:pPr>
        <w:contextualSpacing w:val="0"/>
        <w:rPr/>
      </w:pPr>
      <w:r w:rsidDel="00000000" w:rsidR="00000000" w:rsidRPr="00000000">
        <w:rPr>
          <w:rtl w:val="0"/>
        </w:rPr>
      </w:r>
    </w:p>
    <w:p w:rsidR="00000000" w:rsidDel="00000000" w:rsidP="00000000" w:rsidRDefault="00000000" w:rsidRPr="00000000" w14:paraId="00000039">
      <w:pPr>
        <w:contextualSpacing w:val="0"/>
        <w:rPr/>
      </w:pPr>
      <w:r w:rsidDel="00000000" w:rsidR="00000000" w:rsidRPr="00000000">
        <w:rPr>
          <w:rtl w:val="0"/>
        </w:rPr>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tcPr>
      <w:shd w:fill="ffffff" w:val="clear"/>
    </w:tcPr>
  </w:style>
  <w:style w:type="table" w:styleId="Table2">
    <w:basedOn w:val="TableNormal"/>
    <w:tblPr>
      <w:tblStyleRowBandSize w:val="1"/>
      <w:tblStyleColBandSize w:val="1"/>
      <w:tblCellMar>
        <w:top w:w="100.0" w:type="dxa"/>
        <w:left w:w="100.0" w:type="dxa"/>
        <w:bottom w:w="100.0" w:type="dxa"/>
        <w:right w:w="100.0" w:type="dxa"/>
      </w:tblCellMar>
    </w:tblPr>
    <w:tcPr>
      <w:shd w:fill="ffffff" w:val="clear"/>
    </w:tcPr>
  </w:style>
  <w:style w:type="table" w:styleId="Table3">
    <w:basedOn w:val="TableNormal"/>
    <w:tblPr>
      <w:tblStyleRowBandSize w:val="1"/>
      <w:tblStyleColBandSize w:val="1"/>
      <w:tblCellMar>
        <w:top w:w="100.0" w:type="dxa"/>
        <w:left w:w="100.0" w:type="dxa"/>
        <w:bottom w:w="100.0" w:type="dxa"/>
        <w:right w:w="100.0" w:type="dxa"/>
      </w:tblCellMar>
    </w:tblPr>
    <w:tcPr>
      <w:shd w:fill="ffffff" w:val="clear"/>
    </w:tcPr>
  </w:style>
  <w:style w:type="table" w:styleId="Table4">
    <w:basedOn w:val="TableNormal"/>
    <w:tblPr>
      <w:tblStyleRowBandSize w:val="1"/>
      <w:tblStyleColBandSize w:val="1"/>
      <w:tblCellMar>
        <w:top w:w="100.0" w:type="dxa"/>
        <w:left w:w="100.0" w:type="dxa"/>
        <w:bottom w:w="100.0" w:type="dxa"/>
        <w:right w:w="100.0" w:type="dxa"/>
      </w:tblCellMar>
    </w:tblPr>
    <w:tcPr>
      <w:shd w:fill="ffffff" w:val="clear"/>
    </w:tcPr>
  </w:style>
  <w:style w:type="table" w:styleId="Table5">
    <w:basedOn w:val="TableNormal"/>
    <w:tblPr>
      <w:tblStyleRowBandSize w:val="1"/>
      <w:tblStyleColBandSize w:val="1"/>
      <w:tblCellMar>
        <w:top w:w="100.0" w:type="dxa"/>
        <w:left w:w="100.0" w:type="dxa"/>
        <w:bottom w:w="100.0" w:type="dxa"/>
        <w:right w:w="100.0" w:type="dxa"/>
      </w:tblCellMar>
    </w:tblPr>
    <w:tcPr>
      <w:shd w:fill="ffffff" w:val="clear"/>
    </w:tc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