
<file path=[Content_Types].xml><?xml version="1.0" encoding="utf-8"?>
<Types xmlns="http://schemas.openxmlformats.org/package/2006/content-types">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hd w:fill="ffffff" w:val="clear"/>
        <w:contextualSpacing w:val="0"/>
        <w:rPr>
          <w:sz w:val="28"/>
          <w:szCs w:val="28"/>
        </w:rPr>
      </w:pPr>
      <w:r w:rsidDel="00000000" w:rsidR="00000000" w:rsidRPr="00000000">
        <w:rPr>
          <w:sz w:val="28"/>
          <w:szCs w:val="28"/>
          <w:rtl w:val="0"/>
        </w:rPr>
        <w:t xml:space="preserve">Newhall Ranch Project Hits a Wall</w:t>
      </w:r>
    </w:p>
    <w:p w:rsidR="00000000" w:rsidDel="00000000" w:rsidP="00000000" w:rsidRDefault="00000000" w:rsidRPr="00000000" w14:paraId="00000001">
      <w:pPr>
        <w:shd w:fill="ffffff" w:val="clear"/>
        <w:contextualSpacing w:val="0"/>
        <w:rPr>
          <w:i w:val="1"/>
        </w:rPr>
      </w:pPr>
      <w:r w:rsidDel="00000000" w:rsidR="00000000" w:rsidRPr="00000000">
        <w:rPr>
          <w:i w:val="1"/>
          <w:rtl w:val="0"/>
        </w:rPr>
        <w:t xml:space="preserve">Kern County Judge Finds Problems with Water Supply, Floodplain Constriction, Ecological Area Impacts, Wildlife Corridor, Traffic</w:t>
      </w:r>
    </w:p>
    <w:p w:rsidR="00000000" w:rsidDel="00000000" w:rsidP="00000000" w:rsidRDefault="00000000" w:rsidRPr="00000000" w14:paraId="00000002">
      <w:pPr>
        <w:shd w:fill="ffffff" w:val="clear"/>
        <w:contextualSpacing w:val="0"/>
        <w:rPr/>
      </w:pPr>
      <w:r w:rsidDel="00000000" w:rsidR="00000000" w:rsidRPr="00000000">
        <w:rPr>
          <w:rtl w:val="0"/>
        </w:rPr>
        <w:t xml:space="preserve">In a ruling which restores our faith that courts will uphold the California Environmental Quality Act (CEQA), Kern County Superior Court Judge Roger D. Randall ruled on May 31 that Los Angeles County must fix several problems before it can proceed with the 22,000-unit Newhall Ranch project, the largest in the county's history. Shrinking of the project, perhaps significantly, now looms as a very real possibility. Although he found for Los Angeles County on some points, Judge Randall sided with FSCR, SCOPE, the Sierra Club, and Ventura County on numerous key issues, including water supply, floodplain constriction, general plan non-conformance, inadequate wildlife corridor studies, and flawed traffic analyses. The environmental groups opposing the project were represented by John Buse of the Environmental Defense Center's Ventura office, and Jan Chatten-Brown and Douglas Carstens of Chatten-Brown and Associates.</w:t>
      </w:r>
    </w:p>
    <w:p w:rsidR="00000000" w:rsidDel="00000000" w:rsidP="00000000" w:rsidRDefault="00000000" w:rsidRPr="00000000" w14:paraId="00000003">
      <w:pPr>
        <w:shd w:fill="ffffff" w:val="clear"/>
        <w:contextualSpacing w:val="0"/>
        <w:rPr/>
      </w:pPr>
      <w:r w:rsidDel="00000000" w:rsidR="00000000" w:rsidRPr="00000000">
        <w:rPr>
          <w:rtl w:val="0"/>
        </w:rPr>
        <w:t xml:space="preserve">The ruling proves that Newhall Land and Farming Company's (NLF) supposedly "bombproof" Environmental Impact Report (EIR) has more than a few holes, afterall. William Fulton, editor of a statewide planning newsletter and author of several books on California development, was quoted in the June 2 Los Angeles Times as saying the fact that the judge found defects with the development could affect its size. "Ultimately, this might shrink the project", he said. The most difficult issue now confronting project proponents is that of water supply. The ruling requires that L.A. County and NLF demonstrate that "adequate water sources are available for the buildout of the project". With 40,000 housing units already approved or pending in the Santa Clarita Valley, finding sufficient water for 22,000 more units could prove to be a tough prospect, indeed. Project promoters had hoped to rely on additional state water imported by the Castaic Lake Water Agency (CLWA) but these hopes may founder on the problem of poor reliability of state water in drought years. Further, CLWA's EIR covering importation of 41,000 acre feet per year from Kern County, which NLF had partly relied on to cover project water needs, is currently undergoing a legal challenge by FSCR. A ruling on this challenge, based on inadequate studies of imported water storage and transfer, is expected later this summer.</w:t>
      </w:r>
    </w:p>
    <w:p w:rsidR="00000000" w:rsidDel="00000000" w:rsidP="00000000" w:rsidRDefault="00000000" w:rsidRPr="00000000" w14:paraId="00000004">
      <w:pPr>
        <w:shd w:fill="ffffff" w:val="clear"/>
        <w:contextualSpacing w:val="0"/>
        <w:rPr/>
      </w:pPr>
      <w:r w:rsidDel="00000000" w:rsidR="00000000" w:rsidRPr="00000000">
        <w:rPr>
          <w:rtl w:val="0"/>
        </w:rPr>
        <w:t xml:space="preserve">Judge Randall also ruled that L.A. County must do further studies on siting of the project's water reclamation plant (WRP). The WRP is currently sited in the river floodplain, but the ruling requires that alternative sites be studied further. More studies must also be done on traffic impacts to Ventura County, in particular roads which feed into Routes 126 and 23. The ruling also requires further studies on project impacts to the portion of the Salt Creek wildlife corridor which lies in Ventura County. Newhall Ranch will force virtually all wildlife now transiting the property to use the Salt Creek corridor.</w:t>
      </w:r>
    </w:p>
    <w:p w:rsidR="00000000" w:rsidDel="00000000" w:rsidP="00000000" w:rsidRDefault="00000000" w:rsidRPr="00000000" w14:paraId="00000005">
      <w:pPr>
        <w:shd w:fill="ffffff" w:val="clear"/>
        <w:contextualSpacing w:val="0"/>
        <w:rPr/>
      </w:pPr>
      <w:r w:rsidDel="00000000" w:rsidR="00000000" w:rsidRPr="00000000">
        <w:rPr>
          <w:rtl w:val="0"/>
        </w:rPr>
        <w:t xml:space="preserve">In an area of special importance to FSCR, the court ruled that the EIR must "address the issue of biological impacts on the river corridor based upon channelizing and hardening of the banks". The Specific Plan currently involves hardening of over half the river's banks and in excess of 300 acres of floodplain fill. It also results in the loss of over 100 acres of prime riparian habitat. Regarding the latter, the ruling requires that the Specific Plan be modified "so that it is consistent with the General Plan policies of Los Angeles County requiring protection of natural resources in Significant Ecological Areas".</w:t>
      </w:r>
    </w:p>
    <w:p w:rsidR="00000000" w:rsidDel="00000000" w:rsidP="00000000" w:rsidRDefault="00000000" w:rsidRPr="00000000" w14:paraId="00000006">
      <w:pPr>
        <w:shd w:fill="ffffff" w:val="clear"/>
        <w:contextualSpacing w:val="0"/>
        <w:rPr/>
      </w:pPr>
      <w:r w:rsidDel="00000000" w:rsidR="00000000" w:rsidRPr="00000000">
        <w:rPr>
          <w:rtl w:val="0"/>
        </w:rPr>
        <w:t xml:space="preserve">Attorney's representing FSCR, SCOPE and the Sierra Club are now entitled to prepare a Writ of Mandate setting forth the actions that L.A. County and NLF must take to comply with Judge Randall's ruling. The court will retain jurisdiction over the case until the ruling is satisfied.</w:t>
      </w:r>
    </w:p>
    <w:p w:rsidR="00000000" w:rsidDel="00000000" w:rsidP="00000000" w:rsidRDefault="00000000" w:rsidRPr="00000000" w14:paraId="00000007">
      <w:pPr>
        <w:shd w:fill="ffffff" w:val="clear"/>
        <w:contextualSpacing w:val="0"/>
        <w:rPr/>
      </w:pPr>
      <w:r w:rsidDel="00000000" w:rsidR="00000000" w:rsidRPr="00000000">
        <w:rPr>
          <w:rtl w:val="0"/>
        </w:rPr>
        <w:t xml:space="preserve">FSCR wishes to thank all those who have contributed their time and/or money to the cause of curtailing Newhall Ranch - persons too numerous to mention. We also especially wish to thank and commend John Buse, Jan Chatten-Brown and Doug Carstens, our attorneys, who put so much effort into developing the necessary legal documents and arguing the case. Without their knowledge and expertise, the outcome of this case could have been very different. Although the final chapter on Newhall Ranch has yet to be written, the ruling by Judge Randall serves to justify, in our view, all of the hard work, expense and nervous energy that have been expended to date in the battle against this potentially very damaging project.</w:t>
      </w:r>
    </w:p>
    <w:p w:rsidR="00000000" w:rsidDel="00000000" w:rsidP="00000000" w:rsidRDefault="00000000" w:rsidRPr="00000000" w14:paraId="00000008">
      <w:pPr>
        <w:contextualSpacing w:val="0"/>
        <w:rPr/>
      </w:pPr>
      <w:r w:rsidDel="00000000" w:rsidR="00000000" w:rsidRPr="00000000">
        <w:rPr>
          <w:rtl w:val="0"/>
        </w:rPr>
      </w:r>
    </w:p>
    <w:p w:rsidR="00000000" w:rsidDel="00000000" w:rsidP="00000000" w:rsidRDefault="00000000" w:rsidRPr="00000000" w14:paraId="00000009">
      <w:pPr>
        <w:contextualSpacing w:val="0"/>
        <w:rPr/>
      </w:pPr>
      <w:r w:rsidDel="00000000" w:rsidR="00000000" w:rsidRPr="00000000">
        <w:rPr>
          <w:rtl w:val="0"/>
        </w:rPr>
      </w:r>
    </w:p>
    <w:p w:rsidR="00000000" w:rsidDel="00000000" w:rsidP="00000000" w:rsidRDefault="00000000" w:rsidRPr="00000000" w14:paraId="0000000A">
      <w:pPr>
        <w:contextualSpacing w:val="0"/>
        <w:rPr/>
      </w:pPr>
      <w:r w:rsidDel="00000000" w:rsidR="00000000" w:rsidRPr="00000000">
        <w:rPr>
          <w:rtl w:val="0"/>
        </w:rPr>
      </w:r>
    </w:p>
    <w:tbl>
      <w:tblPr>
        <w:tblStyle w:val="Table1"/>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9500" w:hRule="atLeast"/>
        </w:trPr>
        <w:tc>
          <w:tcP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28"/>
                <w:szCs w:val="28"/>
              </w:rPr>
            </w:pPr>
            <w:r w:rsidDel="00000000" w:rsidR="00000000" w:rsidRPr="00000000">
              <w:rPr>
                <w:sz w:val="28"/>
                <w:szCs w:val="28"/>
                <w:rtl w:val="0"/>
              </w:rPr>
              <w:t xml:space="preserve">FSCR Joins Southern California Steelhead Coalition</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In an effort to protect and restore native steelhead trout populations, Friends of the Santa Clara River has joined the Southern California Steelhead Recovery Coalition, a broad-based collaboration of over 25 groups in the Southern California area. The Coalition is dedicated to restoring southern California's free-flowing rivers and streams to promote the recovery of steelhead and other native species that depend on healthy watersheds. The Coalition will seek to focus additional governmental attention on southern steelhead, which receive only a tiny fraction of the state's steelhead and salmon funding despite their status as California's most imperiled steelhead population. Jim Edmondson, Conservation Director of California Trout, is chairing the group.</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Southern steelhead are believed to be closely related to the ancestral stock for all steelhead populations on the Pacific coast, and may thus hold the key to the survival of all steelhead. Their numbers, however, have declined by 99% during this century. Southern steelhead are threatened by a range of impacts, including dams that block access to high-quality spawning and rearing habitat, water diversions, destruction of in-stream habitat, and flood control activities. Dams that constitute the most significant barriers to the migration of southern steelhead include Bradbury Dam on the Santa Ynez River, Robles Diversion Dam and the obsolete Matilija Dam in the Ventura River watershed, Vern Freeman Diversion Dam on the Santa Clara River, and Rindge Dam on Malibu Creek. A top priority for the Coalition will be the removal of Matilija and Rindge Dams.</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Mary Nichols, State Resources Secretary, attended the Coalition's May 6 meeting along with Maria Rae, Assistant Secretary for Watershed and Salmon Restoration. Ms. Nichols expressed strong support for significantly increased resources devoted to the southern steelhead. She agreed to send Ms. Rea and Cathy Blier, Special Assistant for Salmon, on a two-day tour of the Southern California area, including a visit to the Ventura River, Malibu Creek and other watersheds closer to San Diego.</w:t>
            </w:r>
          </w:p>
        </w:tc>
      </w:tr>
    </w:tbl>
    <w:p w:rsidR="00000000" w:rsidDel="00000000" w:rsidP="00000000" w:rsidRDefault="00000000" w:rsidRPr="00000000" w14:paraId="0000000F">
      <w:pPr>
        <w:contextualSpacing w:val="0"/>
        <w:rPr/>
      </w:pPr>
      <w:r w:rsidDel="00000000" w:rsidR="00000000" w:rsidRPr="00000000">
        <w:rPr>
          <w:rtl w:val="0"/>
        </w:rPr>
      </w:r>
    </w:p>
    <w:p w:rsidR="00000000" w:rsidDel="00000000" w:rsidP="00000000" w:rsidRDefault="00000000" w:rsidRPr="00000000" w14:paraId="00000010">
      <w:pPr>
        <w:contextualSpacing w:val="0"/>
        <w:rPr/>
      </w:pPr>
      <w:r w:rsidDel="00000000" w:rsidR="00000000" w:rsidRPr="00000000">
        <w:rPr>
          <w:rtl w:val="0"/>
        </w:rPr>
      </w:r>
    </w:p>
    <w:p w:rsidR="00000000" w:rsidDel="00000000" w:rsidP="00000000" w:rsidRDefault="00000000" w:rsidRPr="00000000" w14:paraId="00000011">
      <w:pPr>
        <w:shd w:fill="ffffff" w:val="clear"/>
        <w:contextualSpacing w:val="0"/>
        <w:rPr>
          <w:sz w:val="28"/>
          <w:szCs w:val="28"/>
        </w:rPr>
      </w:pPr>
      <w:r w:rsidDel="00000000" w:rsidR="00000000" w:rsidRPr="00000000">
        <w:rPr>
          <w:sz w:val="28"/>
          <w:szCs w:val="28"/>
          <w:rtl w:val="0"/>
        </w:rPr>
        <w:t xml:space="preserve">Meet a River Agency</w:t>
      </w:r>
    </w:p>
    <w:p w:rsidR="00000000" w:rsidDel="00000000" w:rsidP="00000000" w:rsidRDefault="00000000" w:rsidRPr="00000000" w14:paraId="00000012">
      <w:pPr>
        <w:shd w:fill="ffffff" w:val="clear"/>
        <w:contextualSpacing w:val="0"/>
        <w:rPr>
          <w:i w:val="1"/>
        </w:rPr>
      </w:pPr>
      <w:r w:rsidDel="00000000" w:rsidR="00000000" w:rsidRPr="00000000">
        <w:rPr>
          <w:i w:val="1"/>
          <w:rtl w:val="0"/>
        </w:rPr>
        <w:t xml:space="preserve">The U.S. Army Corps of Engineers</w:t>
      </w:r>
    </w:p>
    <w:p w:rsidR="00000000" w:rsidDel="00000000" w:rsidP="00000000" w:rsidRDefault="00000000" w:rsidRPr="00000000" w14:paraId="00000013">
      <w:pPr>
        <w:shd w:fill="ffffff" w:val="clear"/>
        <w:contextualSpacing w:val="0"/>
        <w:rPr>
          <w:i w:val="1"/>
        </w:rPr>
      </w:pPr>
      <w:r w:rsidDel="00000000" w:rsidR="00000000" w:rsidRPr="00000000">
        <w:rPr>
          <w:i w:val="1"/>
          <w:rtl w:val="0"/>
        </w:rPr>
        <w:t xml:space="preserve">The following article by Bruce Henderson was adapted from an informal communication to a local activist and should not be construed as the position of the U.S. Army Corps of Engineers (Corps). Bruce Henderson is a Corps representative who deals primarily with issues related to Section 404 of the Clean Water Act.</w:t>
      </w:r>
    </w:p>
    <w:p w:rsidR="00000000" w:rsidDel="00000000" w:rsidP="00000000" w:rsidRDefault="00000000" w:rsidRPr="00000000" w14:paraId="00000014">
      <w:pPr>
        <w:shd w:fill="ffffff" w:val="clear"/>
        <w:contextualSpacing w:val="0"/>
        <w:rPr/>
      </w:pPr>
      <w:r w:rsidDel="00000000" w:rsidR="00000000" w:rsidRPr="00000000">
        <w:rPr>
          <w:rtl w:val="0"/>
        </w:rPr>
        <w:t xml:space="preserve">The Clean Water Act (CWA) was enacted to ensure protection of the physical, chemical and biological integrity of the Nation's waters. The Corps was mandated by Congress to implement Section 404 of the CWA, which specifically regulates the discharge of dredged or fill material into waters of the United States. That's it - the Corps' role and focus is narrow. If someone wants to do a project that discharges fill material into waters of the U.S., they usually need a 404 permit. If they are outside of Corps' jurisdiction (i.e., outside of the limits of the "Waters of the U.S."), they do not need a 404 permit and we do not have any authority over their proposal. If they propose to do something within an area subject to the Corps' jurisdiction, and it does not involve a discharge of fill material, the activity is not regulated by the Corps. That's the gist of it, but you'd be surprised at the amount of regulations and guidance that have been generated over the past 28 years to implement such a seemingly simple policy.</w:t>
      </w:r>
    </w:p>
    <w:p w:rsidR="00000000" w:rsidDel="00000000" w:rsidP="00000000" w:rsidRDefault="00000000" w:rsidRPr="00000000" w14:paraId="00000015">
      <w:pPr>
        <w:shd w:fill="ffffff" w:val="clear"/>
        <w:contextualSpacing w:val="0"/>
        <w:rPr/>
      </w:pPr>
      <w:r w:rsidDel="00000000" w:rsidR="00000000" w:rsidRPr="00000000">
        <w:rPr>
          <w:rtl w:val="0"/>
        </w:rPr>
        <w:t xml:space="preserve">Corps authorization of projects usually is in the form of a nationwide permit. Nationwide permits are general permits established by Headquarters Regulatory Program personnel. General permits may be established pursuant to Section 404(e) of the CWA for activities of similar type if the proposed work is determined to have minimal adverse impacts to aquatic resources on an individual and cumulative basis. The District Engineer may establish regional general permits on a similar basis.</w:t>
      </w:r>
    </w:p>
    <w:p w:rsidR="00000000" w:rsidDel="00000000" w:rsidP="00000000" w:rsidRDefault="00000000" w:rsidRPr="00000000" w14:paraId="00000016">
      <w:pPr>
        <w:shd w:fill="ffffff" w:val="clear"/>
        <w:contextualSpacing w:val="0"/>
        <w:rPr/>
      </w:pPr>
      <w:r w:rsidDel="00000000" w:rsidR="00000000" w:rsidRPr="00000000">
        <w:rPr>
          <w:rtl w:val="0"/>
        </w:rPr>
        <w:t xml:space="preserve">If a particular project does not qualify for a general permit, it must be analyzed under the individual permit process. This requires that a public notice be sent to those on one of our mailing lists (general, by county, or by region, such as the Colorado River or outer continental shelf). Comments received are usually addressed by the project proponent. The Corps must prepare an environmental assessment regarding the proposed project, and project modifications and/or compensatory mitigation are frequently the result of this process. In rare circumstances, a permit is denied and the project proponent must redesign their project if it is to receive Corps authorization.</w:t>
      </w:r>
    </w:p>
    <w:p w:rsidR="00000000" w:rsidDel="00000000" w:rsidP="00000000" w:rsidRDefault="00000000" w:rsidRPr="00000000" w14:paraId="00000017">
      <w:pPr>
        <w:shd w:fill="ffffff" w:val="clear"/>
        <w:contextualSpacing w:val="0"/>
        <w:rPr/>
      </w:pPr>
      <w:r w:rsidDel="00000000" w:rsidR="00000000" w:rsidRPr="00000000">
        <w:rPr>
          <w:rtl w:val="0"/>
        </w:rPr>
        <w:t xml:space="preserve">Before the Corps may issue a 404 permit to authorize discharge of fill material, the State Water Resources Control Board must certify the project meets state standards for water quality pursuant to Section 401 of the CWA. In some circumstances, the Regional Water Quality Control Boards may deem certification waived if they determine a particular project is in compliance with existing water quality standards.</w:t>
      </w:r>
    </w:p>
    <w:p w:rsidR="00000000" w:rsidDel="00000000" w:rsidP="00000000" w:rsidRDefault="00000000" w:rsidRPr="00000000" w14:paraId="00000018">
      <w:pPr>
        <w:shd w:fill="ffffff" w:val="clear"/>
        <w:contextualSpacing w:val="0"/>
        <w:rPr/>
      </w:pPr>
      <w:r w:rsidDel="00000000" w:rsidR="00000000" w:rsidRPr="00000000">
        <w:rPr>
          <w:rtl w:val="0"/>
        </w:rPr>
        <w:t xml:space="preserve">If a project is likely to affect a species listed as threatened or endangered under the federal Endangered Species Act (ESA), the Corps must consult with the U.S. Fish and Wildlife Service (USFWS) or he National Marine Fisheries Service (NMFS), depending upon the species in question, pursuant to Section 7 of the ESA. The appropriate service would then thoroughly analyze the potential effects of the action on the species or its designated critical habitat before rendering their biological opinion, which could be either "jeopardy" or "non-jeopardy." That is, the service would have to determine whether the proposed action would potentially result in jeopardy to the continued existence of the species. The District Engineer is forbidden to issue a permit if he agrees the action would jeopardize a listed species.</w:t>
      </w:r>
    </w:p>
    <w:p w:rsidR="00000000" w:rsidDel="00000000" w:rsidP="00000000" w:rsidRDefault="00000000" w:rsidRPr="00000000" w14:paraId="00000019">
      <w:pPr>
        <w:shd w:fill="ffffff" w:val="clear"/>
        <w:contextualSpacing w:val="0"/>
        <w:rPr/>
      </w:pPr>
      <w:r w:rsidDel="00000000" w:rsidR="00000000" w:rsidRPr="00000000">
        <w:rPr>
          <w:rtl w:val="0"/>
        </w:rPr>
        <w:t xml:space="preserve">On a project affecting riparian resources, the Corps looks at the effect of the discharge of fill material into waters of the U.S., whereas the California Department of Fish and Game (CDFG) looks at the effect of the activity on fish and wildlife issues. The USFWS and NMFS are somewhat similar to CDFG in this regard, but coordinate with the Corps due to our federal permit authority. The Environmental Protection Agency (EPA) has an oversight role, usually relegated to providing comments on public notices. In extremely rare circumstances, they may invoke a veto authority over the Corps pursuant to Section 404(c) of the CWA.</w:t>
      </w:r>
    </w:p>
    <w:p w:rsidR="00000000" w:rsidDel="00000000" w:rsidP="00000000" w:rsidRDefault="00000000" w:rsidRPr="00000000" w14:paraId="0000001A">
      <w:pPr>
        <w:shd w:fill="ffffff" w:val="clear"/>
        <w:contextualSpacing w:val="0"/>
        <w:rPr/>
      </w:pPr>
      <w:r w:rsidDel="00000000" w:rsidR="00000000" w:rsidRPr="00000000">
        <w:rPr>
          <w:rtl w:val="0"/>
        </w:rPr>
        <w:t xml:space="preserve">All federal agencies, in cases where their decisions may have an effect on the human environment, must ensure such decisions are made in conformance with the National Environmental Policy Act (NEPA). NEPA parallels the California Environmental Quality Act (CEQA) substantially. Under NEPA, the federal agency making a decision that may affect the human environment must prepare an environmental assessment (EA) of the action. This EA may determine there are unmitigated significant impacts to the human environment and that an environmental impact statement (EIS) is necessary, or the EA may stand alone if no EIS is needed. The EIS is equivalent to an Environmental Impact Report under CEQA.</w:t>
      </w:r>
    </w:p>
    <w:p w:rsidR="00000000" w:rsidDel="00000000" w:rsidP="00000000" w:rsidRDefault="00000000" w:rsidRPr="00000000" w14:paraId="0000001B">
      <w:pPr>
        <w:shd w:fill="ffffff" w:val="clear"/>
        <w:contextualSpacing w:val="0"/>
        <w:rPr/>
      </w:pPr>
      <w:r w:rsidDel="00000000" w:rsidR="00000000" w:rsidRPr="00000000">
        <w:rPr>
          <w:rtl w:val="0"/>
        </w:rPr>
        <w:t xml:space="preserve">Implementation of Corps regulations and guidance can fill a book -- and has. When the Corps throws up a red flag on a project, you can be pretty certain its due to some fine point of our regulations or interpretations that have stood the test of time. The situation is extremely complex and getting more so. While some disparagingly refer to agencies like the Corps as bureaucracies, implying large immovable objects, such declarations usually issue from a position of ignorance of all the considerations that must go into the decisions we make, and the input from agencies that must be consulted relative to a decision. The overall process ensures that all points are addressed before one agency makes an independent decision that fails to account for some important facet of the issue.</w:t>
      </w:r>
    </w:p>
    <w:p w:rsidR="00000000" w:rsidDel="00000000" w:rsidP="00000000" w:rsidRDefault="00000000" w:rsidRPr="00000000" w14:paraId="0000001C">
      <w:pPr>
        <w:contextualSpacing w:val="0"/>
        <w:rPr/>
      </w:pPr>
      <w:r w:rsidDel="00000000" w:rsidR="00000000" w:rsidRPr="00000000">
        <w:rPr>
          <w:rtl w:val="0"/>
        </w:rPr>
      </w:r>
    </w:p>
    <w:p w:rsidR="00000000" w:rsidDel="00000000" w:rsidP="00000000" w:rsidRDefault="00000000" w:rsidRPr="00000000" w14:paraId="0000001D">
      <w:pPr>
        <w:contextualSpacing w:val="0"/>
        <w:rPr/>
      </w:pPr>
      <w:r w:rsidDel="00000000" w:rsidR="00000000" w:rsidRPr="00000000">
        <w:rPr>
          <w:rtl w:val="0"/>
        </w:rPr>
      </w:r>
    </w:p>
    <w:p w:rsidR="00000000" w:rsidDel="00000000" w:rsidP="00000000" w:rsidRDefault="00000000" w:rsidRPr="00000000" w14:paraId="0000001E">
      <w:pPr>
        <w:contextualSpacing w:val="0"/>
        <w:rPr/>
      </w:pPr>
      <w:r w:rsidDel="00000000" w:rsidR="00000000" w:rsidRPr="00000000">
        <w:rPr>
          <w:rtl w:val="0"/>
        </w:rPr>
      </w:r>
    </w:p>
    <w:tbl>
      <w:tblPr>
        <w:tblStyle w:val="Table2"/>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19060" w:hRule="atLeast"/>
        </w:trPr>
        <w:tc>
          <w:tcP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28"/>
                <w:szCs w:val="28"/>
              </w:rPr>
            </w:pPr>
            <w:r w:rsidDel="00000000" w:rsidR="00000000" w:rsidRPr="00000000">
              <w:rPr>
                <w:sz w:val="28"/>
                <w:szCs w:val="28"/>
                <w:rtl w:val="0"/>
              </w:rPr>
              <w:t xml:space="preserve">What are TMDLs and How Will They</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28"/>
                <w:szCs w:val="28"/>
              </w:rPr>
            </w:pPr>
            <w:r w:rsidDel="00000000" w:rsidR="00000000" w:rsidRPr="00000000">
              <w:rPr>
                <w:sz w:val="28"/>
                <w:szCs w:val="28"/>
                <w:rtl w:val="0"/>
              </w:rPr>
              <w:t xml:space="preserve">Affect the Santa Clara River?</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by Ron Bottorff</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A relatively unfamiliar term is getting more attention these days - the Total Maximum Daily Load, or TMDL. No, this is not the amount of daily stress in your job or in dealing with your teenagers. For our waters, however, TMDLs will come to play an increasingly important role over time. A TMDL defines how much of any given pollutant can be tolerated by a water body and still meet water quality standards. A TMDL is typically an allowable discharge expressed in pounds per day of the targeted pollutant, such as copper, ammonia or nitrates.</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Congress enacted the Clean Water Act in 1972. In the Act, Congress created two overlapping approaches to regulating water quality. One, familiar to all who follow water quality issues, regulates discharges from sewers, factory pipes, and other "point sources". The other, which lay quiescent for almost 12 years, requires states to establish quality standards for their lakes, rivers, and other water bodies, and to do whatever is required to meet those standards. Since pollution from point sources has been largely (though not completely) cleaned up, this requirement leads in the direction that states regulate and clean up water pollution from all other sources. This may include runoff and irrigation return flows from farms, runoff from forestry operations, and runoff from urban areas.</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This "new" approach to water quality stems from Section 303(d) of the Clean Water Act. Section 303(d) requires states to identify all the water bodies that do not meet applicable water quality standards, and for those "impaired" water bodies, states must establish TMDLs. All of the sources of the pollutant in the watershed combined, including nonpoint sources, are limited to discharging no more than the specified limit. The TMDL is intended as an objective, quantitative standard against which water quality can be measured.</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This section of the Clean Water Act was essentially ignored for years. The EPA and the states were fully occupied with developing the standards and permit program for point sources, known as the National Pollutant Discharge Elimination System, or NPDES. However, beginning in 1984, numerous environmental lawsuits had the result of placing the EPA under court order to produce TMDLs in accordance with the Clean Water Act.</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Portions of the Santa Clara River watershed were involved in the above-mentioned litigation. Over the next few years, TMDLs will be established for various reaches of the river and the estuary. Pollutants to be covered include coliform, ammonia, nitrates, nitrites and various organics.</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FSCR Board of Directors members Ron Bottorff and Richard Sweet attended an all-day symposium "Achieving Success in the TMDL Program" at the University of Southern California on September 29, 1999. Panels of various experts discussed the TMDL regulatory framework, the problem of implementing pollutant load reductions, and the TMDL program in the Los Angeles Region. Dr. Mark Gold of Heal the Bay provided an overall view of the water quality problem from the standpoint of environmental groups. He stated that point sources of pollution (e.g. sewage treatment plant outflow) have been pretty well controlled but that efforts to control nonpoint sources, such as stormwater runoff, have been much less successful. He further stated that extensive water quality data analyses are needed to identify data gaps, and that the TMDL implementation plans and completion schedules are critically important. Dr. James Karr of the University of Washington Zoology Department presented an outstanding closing address, in which he covered the limitations of chemical monitoring in assessing the health of water bodies. He stressed that the real key is what is happening relative to biological organisms; clean water is not enough - major focus must be placed on ensuring that biotic interactions in our streams and lakes are restored and maintained. This will require a strong program of biological monitoring.</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t xml:space="preserve">In the future, an Index of Biological Indicators (IBI) may become a TMDL parameter, with the potential of active participation by FSCR. We plan to keep in close touch with the Los Angeles Regional Water Quality Control Board on all of these issues.</w:t>
            </w:r>
          </w:p>
        </w:tc>
      </w:tr>
    </w:tbl>
    <w:p w:rsidR="00000000" w:rsidDel="00000000" w:rsidP="00000000" w:rsidRDefault="00000000" w:rsidRPr="00000000" w14:paraId="00000029">
      <w:pPr>
        <w:contextualSpacing w:val="0"/>
        <w:rPr/>
      </w:pPr>
      <w:r w:rsidDel="00000000" w:rsidR="00000000" w:rsidRPr="00000000">
        <w:rPr>
          <w:rtl w:val="0"/>
        </w:rPr>
      </w:r>
    </w:p>
    <w:p w:rsidR="00000000" w:rsidDel="00000000" w:rsidP="00000000" w:rsidRDefault="00000000" w:rsidRPr="00000000" w14:paraId="0000002A">
      <w:pPr>
        <w:contextualSpacing w:val="0"/>
        <w:rPr/>
      </w:pPr>
      <w:r w:rsidDel="00000000" w:rsidR="00000000" w:rsidRPr="00000000">
        <w:rPr>
          <w:rtl w:val="0"/>
        </w:rPr>
      </w:r>
    </w:p>
    <w:p w:rsidR="00000000" w:rsidDel="00000000" w:rsidP="00000000" w:rsidRDefault="00000000" w:rsidRPr="00000000" w14:paraId="0000002B">
      <w:pPr>
        <w:shd w:fill="ffffff" w:val="clear"/>
        <w:contextualSpacing w:val="0"/>
        <w:rPr>
          <w:sz w:val="28"/>
          <w:szCs w:val="28"/>
        </w:rPr>
      </w:pPr>
      <w:r w:rsidDel="00000000" w:rsidR="00000000" w:rsidRPr="00000000">
        <w:rPr>
          <w:sz w:val="28"/>
          <w:szCs w:val="28"/>
          <w:rtl w:val="0"/>
        </w:rPr>
        <w:t xml:space="preserve">The Case for Urban Villages</w:t>
      </w:r>
    </w:p>
    <w:p w:rsidR="00000000" w:rsidDel="00000000" w:rsidP="00000000" w:rsidRDefault="00000000" w:rsidRPr="00000000" w14:paraId="0000002C">
      <w:pPr>
        <w:shd w:fill="ffffff" w:val="clear"/>
        <w:contextualSpacing w:val="0"/>
        <w:rPr/>
      </w:pPr>
      <w:r w:rsidDel="00000000" w:rsidR="00000000" w:rsidRPr="00000000">
        <w:rPr>
          <w:rtl w:val="0"/>
        </w:rPr>
        <w:t xml:space="preserve">By Randall Fleming</w:t>
      </w:r>
    </w:p>
    <w:p w:rsidR="00000000" w:rsidDel="00000000" w:rsidP="00000000" w:rsidRDefault="00000000" w:rsidRPr="00000000" w14:paraId="0000002D">
      <w:pPr>
        <w:shd w:fill="ffffff" w:val="clear"/>
        <w:contextualSpacing w:val="0"/>
        <w:rPr>
          <w:i w:val="1"/>
        </w:rPr>
      </w:pPr>
      <w:r w:rsidDel="00000000" w:rsidR="00000000" w:rsidRPr="00000000">
        <w:rPr>
          <w:i w:val="1"/>
          <w:rtl w:val="0"/>
        </w:rPr>
        <w:t xml:space="preserve">Reprinted from </w:t>
      </w:r>
      <w:r w:rsidDel="00000000" w:rsidR="00000000" w:rsidRPr="00000000">
        <w:rPr>
          <w:rtl w:val="0"/>
        </w:rPr>
        <w:t xml:space="preserve">Linkages</w:t>
      </w:r>
      <w:r w:rsidDel="00000000" w:rsidR="00000000" w:rsidRPr="00000000">
        <w:rPr>
          <w:i w:val="1"/>
          <w:rtl w:val="0"/>
        </w:rPr>
        <w:t xml:space="preserve"> Issue No. 8, periodical of the Institute for Ecological Health</w:t>
      </w:r>
    </w:p>
    <w:p w:rsidR="00000000" w:rsidDel="00000000" w:rsidP="00000000" w:rsidRDefault="00000000" w:rsidRPr="00000000" w14:paraId="0000002E">
      <w:pPr>
        <w:shd w:fill="ffffff" w:val="clear"/>
        <w:contextualSpacing w:val="0"/>
        <w:rPr/>
      </w:pPr>
      <w:r w:rsidDel="00000000" w:rsidR="00000000" w:rsidRPr="00000000">
        <w:rPr>
          <w:rtl w:val="0"/>
        </w:rPr>
        <w:t xml:space="preserve">Urban villages are a contradiction in place, as they blend the intensity of a city with the intimacy of a village. Urban villages work because they resolve this contradiction by balancing public interaction and personal privacy; enriching outdoor living with passive open spaces and intense urban places; and by providing diverse living, working, and playing opportunities. The result brings a lot of people together in an urban setting that can accommodate diverse personal and community needs.</w:t>
      </w:r>
    </w:p>
    <w:p w:rsidR="00000000" w:rsidDel="00000000" w:rsidP="00000000" w:rsidRDefault="00000000" w:rsidRPr="00000000" w14:paraId="0000002F">
      <w:pPr>
        <w:shd w:fill="ffffff" w:val="clear"/>
        <w:contextualSpacing w:val="0"/>
        <w:rPr/>
      </w:pPr>
      <w:r w:rsidDel="00000000" w:rsidR="00000000" w:rsidRPr="00000000">
        <w:rPr>
          <w:rtl w:val="0"/>
        </w:rPr>
        <w:t xml:space="preserve">Urban villages may also be one of the key building blocks of sustainable urbanization. Villages can integrate social, environmental, and economic systems and they can produce multiple benefits from individual system functions. They mix land uses, increase urban densities, encourage pedes-trian travel, and are a pleasure to visit, work and live in.</w:t>
      </w:r>
    </w:p>
    <w:p w:rsidR="00000000" w:rsidDel="00000000" w:rsidP="00000000" w:rsidRDefault="00000000" w:rsidRPr="00000000" w14:paraId="00000030">
      <w:pPr>
        <w:shd w:fill="ffffff" w:val="clear"/>
        <w:contextualSpacing w:val="0"/>
        <w:rPr/>
      </w:pPr>
      <w:r w:rsidDel="00000000" w:rsidR="00000000" w:rsidRPr="00000000">
        <w:rPr>
          <w:rtl w:val="0"/>
        </w:rPr>
        <w:t xml:space="preserve">As compact urban forms, they use land efficiently and reduce development pressures on agricultural lands, ecosystems, and open spaces. They reduce building and travel energy; and they help mitigate regional air quality by reducing automobile trips. Resources, such as land and energy, and supporting infrastructure are used much more efficiently than those required by sprawling development. Successful urban villages also attract people, and as social places they provide cultural and entertainment amenities that offer alternatives to material consumption.</w:t>
      </w:r>
    </w:p>
    <w:p w:rsidR="00000000" w:rsidDel="00000000" w:rsidP="00000000" w:rsidRDefault="00000000" w:rsidRPr="00000000" w14:paraId="00000031">
      <w:pPr>
        <w:shd w:fill="ffffff" w:val="clear"/>
        <w:contextualSpacing w:val="0"/>
        <w:rPr/>
      </w:pPr>
      <w:r w:rsidDel="00000000" w:rsidR="00000000" w:rsidRPr="00000000">
        <w:rPr>
          <w:rtl w:val="0"/>
        </w:rPr>
        <w:t xml:space="preserve">Villages can serve neighborhoods or regions, local residents and visiting tourists. Villages can exist in rural or urban settings, have small to large populations, and house low to high numbers of people per acre. Structural patterns also vary, and can include:</w:t>
      </w:r>
    </w:p>
    <w:p w:rsidR="00000000" w:rsidDel="00000000" w:rsidP="00000000" w:rsidRDefault="00000000" w:rsidRPr="00000000" w14:paraId="00000032">
      <w:pPr>
        <w:shd w:fill="ffffff" w:val="clear"/>
        <w:contextualSpacing w:val="0"/>
        <w:rPr/>
      </w:pPr>
      <w:r w:rsidDel="00000000" w:rsidR="00000000" w:rsidRPr="00000000">
        <w:rPr/>
        <w:drawing>
          <wp:inline distB="114300" distT="114300" distL="114300" distR="114300">
            <wp:extent cx="190500" cy="127000"/>
            <wp:effectExtent b="0" l="0" r="0" t="0"/>
            <wp:docPr descr="Item" id="13" name="image27.gif"/>
            <a:graphic>
              <a:graphicData uri="http://schemas.openxmlformats.org/drawingml/2006/picture">
                <pic:pic>
                  <pic:nvPicPr>
                    <pic:cNvPr descr="Item" id="0" name="image27.gif"/>
                    <pic:cNvPicPr preferRelativeResize="0"/>
                  </pic:nvPicPr>
                  <pic:blipFill>
                    <a:blip r:embed="rId6"/>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linear main streets (St. Helena, CA),</w:t>
      </w:r>
    </w:p>
    <w:p w:rsidR="00000000" w:rsidDel="00000000" w:rsidP="00000000" w:rsidRDefault="00000000" w:rsidRPr="00000000" w14:paraId="00000033">
      <w:pPr>
        <w:shd w:fill="ffffff" w:val="clear"/>
        <w:contextualSpacing w:val="0"/>
        <w:rPr/>
      </w:pPr>
      <w:r w:rsidDel="00000000" w:rsidR="00000000" w:rsidRPr="00000000">
        <w:rPr/>
        <w:drawing>
          <wp:inline distB="114300" distT="114300" distL="114300" distR="114300">
            <wp:extent cx="190500" cy="127000"/>
            <wp:effectExtent b="0" l="0" r="0" t="0"/>
            <wp:docPr descr="Item" id="12" name="image26.gif"/>
            <a:graphic>
              <a:graphicData uri="http://schemas.openxmlformats.org/drawingml/2006/picture">
                <pic:pic>
                  <pic:nvPicPr>
                    <pic:cNvPr descr="Item" id="0" name="image26.gif"/>
                    <pic:cNvPicPr preferRelativeResize="0"/>
                  </pic:nvPicPr>
                  <pic:blipFill>
                    <a:blip r:embed="rId7"/>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rectangular grids (Mid Town, Sacramento, CA),</w:t>
      </w:r>
    </w:p>
    <w:p w:rsidR="00000000" w:rsidDel="00000000" w:rsidP="00000000" w:rsidRDefault="00000000" w:rsidRPr="00000000" w14:paraId="00000034">
      <w:pPr>
        <w:shd w:fill="ffffff" w:val="clear"/>
        <w:contextualSpacing w:val="0"/>
        <w:rPr/>
      </w:pPr>
      <w:r w:rsidDel="00000000" w:rsidR="00000000" w:rsidRPr="00000000">
        <w:rPr/>
        <w:drawing>
          <wp:inline distB="114300" distT="114300" distL="114300" distR="114300">
            <wp:extent cx="190500" cy="127000"/>
            <wp:effectExtent b="0" l="0" r="0" t="0"/>
            <wp:docPr descr="Item" id="14" name="image28.gif"/>
            <a:graphic>
              <a:graphicData uri="http://schemas.openxmlformats.org/drawingml/2006/picture">
                <pic:pic>
                  <pic:nvPicPr>
                    <pic:cNvPr descr="Item" id="0" name="image28.gif"/>
                    <pic:cNvPicPr preferRelativeResize="0"/>
                  </pic:nvPicPr>
                  <pic:blipFill>
                    <a:blip r:embed="rId8"/>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more organic systems (Nevada City, CA),</w:t>
      </w:r>
    </w:p>
    <w:p w:rsidR="00000000" w:rsidDel="00000000" w:rsidP="00000000" w:rsidRDefault="00000000" w:rsidRPr="00000000" w14:paraId="00000035">
      <w:pPr>
        <w:shd w:fill="ffffff" w:val="clear"/>
        <w:contextualSpacing w:val="0"/>
        <w:rPr/>
      </w:pPr>
      <w:r w:rsidDel="00000000" w:rsidR="00000000" w:rsidRPr="00000000">
        <w:rPr/>
        <w:drawing>
          <wp:inline distB="114300" distT="114300" distL="114300" distR="114300">
            <wp:extent cx="190500" cy="127000"/>
            <wp:effectExtent b="0" l="0" r="0" t="0"/>
            <wp:docPr descr="Item" id="6" name="image20.gif"/>
            <a:graphic>
              <a:graphicData uri="http://schemas.openxmlformats.org/drawingml/2006/picture">
                <pic:pic>
                  <pic:nvPicPr>
                    <pic:cNvPr descr="Item" id="0" name="image20.gif"/>
                    <pic:cNvPicPr preferRelativeResize="0"/>
                  </pic:nvPicPr>
                  <pic:blipFill>
                    <a:blip r:embed="rId9"/>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schemes centered on public squares (North Beach, San Francisco, CA).</w:t>
      </w:r>
    </w:p>
    <w:p w:rsidR="00000000" w:rsidDel="00000000" w:rsidP="00000000" w:rsidRDefault="00000000" w:rsidRPr="00000000" w14:paraId="00000036">
      <w:pPr>
        <w:shd w:fill="ffffff" w:val="clear"/>
        <w:contextualSpacing w:val="0"/>
        <w:rPr/>
      </w:pPr>
      <w:r w:rsidDel="00000000" w:rsidR="00000000" w:rsidRPr="00000000">
        <w:rPr>
          <w:rtl w:val="0"/>
        </w:rPr>
        <w:t xml:space="preserve">Some villages mix uses vertically, such as living units over shops, while others zone uses horizontally. Villages are not franchised or monolithic urban complexes. They have uses, public spaces, architectural styles, and overall patterns that reflect local environments, history, culture, and community needs.</w:t>
      </w:r>
    </w:p>
    <w:p w:rsidR="00000000" w:rsidDel="00000000" w:rsidP="00000000" w:rsidRDefault="00000000" w:rsidRPr="00000000" w14:paraId="00000037">
      <w:pPr>
        <w:shd w:fill="ffffff" w:val="clear"/>
        <w:contextualSpacing w:val="0"/>
        <w:rPr>
          <w:b w:val="1"/>
        </w:rPr>
      </w:pPr>
      <w:r w:rsidDel="00000000" w:rsidR="00000000" w:rsidRPr="00000000">
        <w:rPr>
          <w:b w:val="1"/>
          <w:rtl w:val="0"/>
        </w:rPr>
        <w:t xml:space="preserve">Public Opinion and Housing Markets</w:t>
      </w:r>
    </w:p>
    <w:p w:rsidR="00000000" w:rsidDel="00000000" w:rsidP="00000000" w:rsidRDefault="00000000" w:rsidRPr="00000000" w14:paraId="00000038">
      <w:pPr>
        <w:shd w:fill="ffffff" w:val="clear"/>
        <w:contextualSpacing w:val="0"/>
        <w:rPr/>
      </w:pPr>
      <w:r w:rsidDel="00000000" w:rsidR="00000000" w:rsidRPr="00000000">
        <w:rPr>
          <w:rtl w:val="0"/>
        </w:rPr>
        <w:t xml:space="preserve">There appears to be reasonable market interest in aspects of New Urbanism styled, walkable communities. American LIVES found that 75% of respondents to a home buyer survey wanted to have the option to walk or bike to work or to shops1. Of these respondents, 20% were interested in living in developments that embodied all sustainable principles, including those that increased density and reduced lot size. This response corresponds to a Belden, Russonello and Stewart national focus group study that suggests that renters with no children and empty nesters are more likely to choose a smaller lot in a livable community area where they can walk to stores, etc2. A Fannie Mae survey also found that people believe that a great neigh-borhood is more important than a great house. Public opinion surveys also imply that people value urban village styled development as important places in the urban fabric3. In a study of treasured places in the Sacramento region, downtown areas rece! ived t he highest important urban neighborhood related response (17%), while shopping malls were of much less interest (6%)4.</w:t>
      </w:r>
    </w:p>
    <w:p w:rsidR="00000000" w:rsidDel="00000000" w:rsidP="00000000" w:rsidRDefault="00000000" w:rsidRPr="00000000" w14:paraId="00000039">
      <w:pPr>
        <w:shd w:fill="ffffff" w:val="clear"/>
        <w:contextualSpacing w:val="0"/>
        <w:rPr/>
      </w:pPr>
      <w:r w:rsidDel="00000000" w:rsidR="00000000" w:rsidRPr="00000000">
        <w:rPr>
          <w:rtl w:val="0"/>
        </w:rPr>
        <w:t xml:space="preserve">In the same study, people were also asked what they would want improved to make living in the Sacramento region more enjoyable. Of all improvement responses, 58% focused on providing safe and pedestrian oriented environments that were served by public transit, 38% sought to limit sprawl and improve core areas, and only 6% wanted to build better suburbs and improve vehicular access.</w:t>
      </w:r>
    </w:p>
    <w:p w:rsidR="00000000" w:rsidDel="00000000" w:rsidP="00000000" w:rsidRDefault="00000000" w:rsidRPr="00000000" w14:paraId="0000003A">
      <w:pPr>
        <w:shd w:fill="ffffff" w:val="clear"/>
        <w:contextualSpacing w:val="0"/>
        <w:rPr/>
      </w:pPr>
      <w:r w:rsidDel="00000000" w:rsidR="00000000" w:rsidRPr="00000000">
        <w:rPr>
          <w:rtl w:val="0"/>
        </w:rPr>
        <w:t xml:space="preserve">More dense, transit served urban projects have often attracted a younger market. In the SF Bay Area, 65% of the residents near light rail stations are 17 to 34 years of age18. Suburban flight, however, may be a new trend that is attracting empty nesters back to higher density, more active urban areas5. Demographers and real estate specialists contend that their numbers - just a trickle now - may surge dramatically through the next decade. These people are seeking cultural and entertainment amenities, desirable residential neighborhoods, convenient shopping, a strong entrepreneurial spirit, excellent public transport-ation, and relative safety. High-density urban villages, such as the West End in Vancouver, Canada, attract the elderly along with the young.</w:t>
      </w:r>
    </w:p>
    <w:p w:rsidR="00000000" w:rsidDel="00000000" w:rsidP="00000000" w:rsidRDefault="00000000" w:rsidRPr="00000000" w14:paraId="0000003B">
      <w:pPr>
        <w:shd w:fill="ffffff" w:val="clear"/>
        <w:contextualSpacing w:val="0"/>
        <w:rPr/>
      </w:pPr>
      <w:r w:rsidDel="00000000" w:rsidR="00000000" w:rsidRPr="00000000">
        <w:rPr>
          <w:rtl w:val="0"/>
        </w:rPr>
        <w:t xml:space="preserve">Given that niche markets appear to exist for village living, the data suggests that the most suitable market may be younger households without children and empty nesters. In Sacramento County, for example, 27% of the population is between 20 and 35 years of age and 16% between 50 and 70 years6. This implies that the approximate market is 43% of the County's population and that some in this market could be attracted to village style living.</w:t>
      </w:r>
    </w:p>
    <w:p w:rsidR="00000000" w:rsidDel="00000000" w:rsidP="00000000" w:rsidRDefault="00000000" w:rsidRPr="00000000" w14:paraId="0000003C">
      <w:pPr>
        <w:shd w:fill="ffffff" w:val="clear"/>
        <w:contextualSpacing w:val="0"/>
        <w:rPr>
          <w:b w:val="1"/>
        </w:rPr>
      </w:pPr>
      <w:r w:rsidDel="00000000" w:rsidR="00000000" w:rsidRPr="00000000">
        <w:rPr>
          <w:b w:val="1"/>
          <w:rtl w:val="0"/>
        </w:rPr>
        <w:t xml:space="preserve">Environmental Benefits</w:t>
      </w:r>
    </w:p>
    <w:p w:rsidR="00000000" w:rsidDel="00000000" w:rsidP="00000000" w:rsidRDefault="00000000" w:rsidRPr="00000000" w14:paraId="0000003D">
      <w:pPr>
        <w:shd w:fill="ffffff" w:val="clear"/>
        <w:contextualSpacing w:val="0"/>
        <w:rPr/>
      </w:pPr>
      <w:r w:rsidDel="00000000" w:rsidR="00000000" w:rsidRPr="00000000">
        <w:rPr>
          <w:rtl w:val="0"/>
        </w:rPr>
        <w:t xml:space="preserve">Long term environmental protection by urban villages is primarily due to reduced vehicular transit and land use efficiencies. When compared with low density development, vehicle trips can be reduced up to 28%7 and up to 43% less energy can be used for travel8. With mixed uses involving 1 to 1 job/housing ratios, up to 68% less energy can be used and average commute distances have been reduced by 28%8.</w:t>
      </w:r>
    </w:p>
    <w:p w:rsidR="00000000" w:rsidDel="00000000" w:rsidP="00000000" w:rsidRDefault="00000000" w:rsidRPr="00000000" w14:paraId="0000003E">
      <w:pPr>
        <w:shd w:fill="ffffff" w:val="clear"/>
        <w:contextualSpacing w:val="0"/>
        <w:rPr/>
      </w:pPr>
      <w:r w:rsidDel="00000000" w:rsidR="00000000" w:rsidRPr="00000000">
        <w:rPr>
          <w:rtl w:val="0"/>
        </w:rPr>
        <w:t xml:space="preserve">Part of making sustainable places is building to sufficient densities to make transit feasible and providing sufficient neighborhood level jobs, services, and shops to make the village district serve all daily needs. With densities beginning at 16 dwelling units per acre, public transit increases significantly and auto usage drops. Villages with adequate jobs, housing, shops, and entertainment that are serviced by good transit appear to be most effective in reducing automobile dependent leisure trips9. In 11 US metropolitan areas, mid to high rise neighborhoods with employment centers, retail, and service areas and 1.5 mile commute distances have at least 25% of the population walking or biking to work7.</w:t>
      </w:r>
    </w:p>
    <w:p w:rsidR="00000000" w:rsidDel="00000000" w:rsidP="00000000" w:rsidRDefault="00000000" w:rsidRPr="00000000" w14:paraId="0000003F">
      <w:pPr>
        <w:shd w:fill="ffffff" w:val="clear"/>
        <w:contextualSpacing w:val="0"/>
        <w:rPr>
          <w:b w:val="1"/>
        </w:rPr>
      </w:pPr>
      <w:r w:rsidDel="00000000" w:rsidR="00000000" w:rsidRPr="00000000">
        <w:rPr>
          <w:b w:val="1"/>
          <w:rtl w:val="0"/>
        </w:rPr>
        <w:t xml:space="preserve">The Potential of Urban Villages -</w:t>
      </w:r>
    </w:p>
    <w:p w:rsidR="00000000" w:rsidDel="00000000" w:rsidP="00000000" w:rsidRDefault="00000000" w:rsidRPr="00000000" w14:paraId="00000040">
      <w:pPr>
        <w:shd w:fill="ffffff" w:val="clear"/>
        <w:contextualSpacing w:val="0"/>
        <w:rPr>
          <w:b w:val="1"/>
        </w:rPr>
      </w:pPr>
      <w:r w:rsidDel="00000000" w:rsidR="00000000" w:rsidRPr="00000000">
        <w:rPr>
          <w:b w:val="1"/>
          <w:rtl w:val="0"/>
        </w:rPr>
        <w:t xml:space="preserve">California's Central Valley as an Example</w:t>
      </w:r>
    </w:p>
    <w:p w:rsidR="00000000" w:rsidDel="00000000" w:rsidP="00000000" w:rsidRDefault="00000000" w:rsidRPr="00000000" w14:paraId="00000041">
      <w:pPr>
        <w:shd w:fill="ffffff" w:val="clear"/>
        <w:contextualSpacing w:val="0"/>
        <w:rPr/>
      </w:pPr>
      <w:r w:rsidDel="00000000" w:rsidR="00000000" w:rsidRPr="00000000">
        <w:rPr>
          <w:rtl w:val="0"/>
        </w:rPr>
        <w:t xml:space="preserve">Land use is also much more efficient in urban villages. From a historical perspective, villages and urban places in history have had high people per acre densities. Renaissance Florence, Italy was a compact urban village, about 1,200 acres or 3 times the size of the UC Berkeley campus. From Florence's center, one could walk to the city edge in 15.5 minutes. The town was the work place and home to 54,000 souls10 and had a density of 45 people per gross acre11. Jericho, the world's first city, had a year round population of 166 people per gross acre. Ancient Rome had 150, Pompeii 65, and 97 people per gross acre lived in medieval Venice12.</w:t>
      </w:r>
    </w:p>
    <w:p w:rsidR="00000000" w:rsidDel="00000000" w:rsidP="00000000" w:rsidRDefault="00000000" w:rsidRPr="00000000" w14:paraId="00000042">
      <w:pPr>
        <w:shd w:fill="ffffff" w:val="clear"/>
        <w:contextualSpacing w:val="0"/>
        <w:rPr/>
      </w:pPr>
      <w:r w:rsidDel="00000000" w:rsidR="00000000" w:rsidRPr="00000000">
        <w:rPr>
          <w:rtl w:val="0"/>
        </w:rPr>
        <w:t xml:space="preserve">In comparison, the current average density for communities in California's Central Valley is 4.5 people per acre13. The City of Sacramento has 5.2 people per acre. Davis, one of the denser cities in the Sacramento region, has 8.3 . Laguna West south of Sacramento, a recently built community designed to new urbanism principles, is similar to Davis at 8.414.</w:t>
      </w:r>
    </w:p>
    <w:p w:rsidR="00000000" w:rsidDel="00000000" w:rsidP="00000000" w:rsidRDefault="00000000" w:rsidRPr="00000000" w14:paraId="00000043">
      <w:pPr>
        <w:shd w:fill="ffffff" w:val="clear"/>
        <w:contextualSpacing w:val="0"/>
        <w:rPr/>
      </w:pPr>
      <w:r w:rsidDel="00000000" w:rsidR="00000000" w:rsidRPr="00000000">
        <w:rPr>
          <w:rtl w:val="0"/>
        </w:rPr>
        <w:t xml:space="preserve">With creative planning and design, density can be increased without radically changing the housing options available in the Central Valley. If towns are planned with a diversity in living and neighborhood types, achieving an overall gross density of 16 people per acre with urban villages is quite feasible. Assuming 25 dwelling units per acre, a mixed use urban village serving 25% of the local population and occupying between 5% to 10% of a city's urbanized area, creates citywide urban systems that are 35% more land use efficient than most Central Valley communities in California15.</w:t>
      </w:r>
    </w:p>
    <w:p w:rsidR="00000000" w:rsidDel="00000000" w:rsidP="00000000" w:rsidRDefault="00000000" w:rsidRPr="00000000" w14:paraId="00000044">
      <w:pPr>
        <w:shd w:fill="ffffff" w:val="clear"/>
        <w:contextualSpacing w:val="0"/>
        <w:rPr>
          <w:b w:val="1"/>
        </w:rPr>
      </w:pPr>
      <w:r w:rsidDel="00000000" w:rsidR="00000000" w:rsidRPr="00000000">
        <w:rPr>
          <w:b w:val="1"/>
          <w:rtl w:val="0"/>
        </w:rPr>
        <w:t xml:space="preserve">Conclusion</w:t>
      </w:r>
    </w:p>
    <w:p w:rsidR="00000000" w:rsidDel="00000000" w:rsidP="00000000" w:rsidRDefault="00000000" w:rsidRPr="00000000" w14:paraId="00000045">
      <w:pPr>
        <w:shd w:fill="ffffff" w:val="clear"/>
        <w:contextualSpacing w:val="0"/>
        <w:rPr/>
      </w:pPr>
      <w:r w:rsidDel="00000000" w:rsidR="00000000" w:rsidRPr="00000000">
        <w:rPr>
          <w:rtl w:val="0"/>
        </w:rPr>
        <w:t xml:space="preserve">While not all elements of sustainable urban village theory are substantiated by rigorous research, the literature contains a convergence of ideas that identify the importance of preserving habitat and open space;</w:t>
      </w:r>
    </w:p>
    <w:p w:rsidR="00000000" w:rsidDel="00000000" w:rsidP="00000000" w:rsidRDefault="00000000" w:rsidRPr="00000000" w14:paraId="00000046">
      <w:pPr>
        <w:shd w:fill="ffffff" w:val="clear"/>
        <w:contextualSpacing w:val="0"/>
        <w:rPr/>
      </w:pPr>
      <w:r w:rsidDel="00000000" w:rsidR="00000000" w:rsidRPr="00000000">
        <w:rPr/>
        <w:drawing>
          <wp:inline distB="114300" distT="114300" distL="114300" distR="114300">
            <wp:extent cx="190500" cy="127000"/>
            <wp:effectExtent b="0" l="0" r="0" t="0"/>
            <wp:docPr descr="Item" id="11" name="image25.gif"/>
            <a:graphic>
              <a:graphicData uri="http://schemas.openxmlformats.org/drawingml/2006/picture">
                <pic:pic>
                  <pic:nvPicPr>
                    <pic:cNvPr descr="Item" id="0" name="image25.gif"/>
                    <pic:cNvPicPr preferRelativeResize="0"/>
                  </pic:nvPicPr>
                  <pic:blipFill>
                    <a:blip r:embed="rId10"/>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building communities that are more land use efficient;</w:t>
      </w:r>
    </w:p>
    <w:p w:rsidR="00000000" w:rsidDel="00000000" w:rsidP="00000000" w:rsidRDefault="00000000" w:rsidRPr="00000000" w14:paraId="00000047">
      <w:pPr>
        <w:shd w:fill="ffffff" w:val="clear"/>
        <w:contextualSpacing w:val="0"/>
        <w:rPr/>
      </w:pPr>
      <w:r w:rsidDel="00000000" w:rsidR="00000000" w:rsidRPr="00000000">
        <w:rPr/>
        <w:drawing>
          <wp:inline distB="114300" distT="114300" distL="114300" distR="114300">
            <wp:extent cx="190500" cy="127000"/>
            <wp:effectExtent b="0" l="0" r="0" t="0"/>
            <wp:docPr descr="Item" id="8" name="image22.gif"/>
            <a:graphic>
              <a:graphicData uri="http://schemas.openxmlformats.org/drawingml/2006/picture">
                <pic:pic>
                  <pic:nvPicPr>
                    <pic:cNvPr descr="Item" id="0" name="image22.gif"/>
                    <pic:cNvPicPr preferRelativeResize="0"/>
                  </pic:nvPicPr>
                  <pic:blipFill>
                    <a:blip r:embed="rId11"/>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developing low impact personal and public transportation systems;</w:t>
      </w:r>
    </w:p>
    <w:p w:rsidR="00000000" w:rsidDel="00000000" w:rsidP="00000000" w:rsidRDefault="00000000" w:rsidRPr="00000000" w14:paraId="00000048">
      <w:pPr>
        <w:shd w:fill="ffffff" w:val="clear"/>
        <w:contextualSpacing w:val="0"/>
        <w:rPr/>
      </w:pPr>
      <w:r w:rsidDel="00000000" w:rsidR="00000000" w:rsidRPr="00000000">
        <w:rPr/>
        <w:drawing>
          <wp:inline distB="114300" distT="114300" distL="114300" distR="114300">
            <wp:extent cx="190500" cy="127000"/>
            <wp:effectExtent b="0" l="0" r="0" t="0"/>
            <wp:docPr descr="Item" id="2" name="image16.gif"/>
            <a:graphic>
              <a:graphicData uri="http://schemas.openxmlformats.org/drawingml/2006/picture">
                <pic:pic>
                  <pic:nvPicPr>
                    <pic:cNvPr descr="Item" id="0" name="image16.gif"/>
                    <pic:cNvPicPr preferRelativeResize="0"/>
                  </pic:nvPicPr>
                  <pic:blipFill>
                    <a:blip r:embed="rId12"/>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geographically relating jobs and housing;</w:t>
      </w:r>
    </w:p>
    <w:p w:rsidR="00000000" w:rsidDel="00000000" w:rsidP="00000000" w:rsidRDefault="00000000" w:rsidRPr="00000000" w14:paraId="00000049">
      <w:pPr>
        <w:shd w:fill="ffffff" w:val="clear"/>
        <w:contextualSpacing w:val="0"/>
        <w:rPr/>
      </w:pPr>
      <w:r w:rsidDel="00000000" w:rsidR="00000000" w:rsidRPr="00000000">
        <w:rPr/>
        <w:drawing>
          <wp:inline distB="114300" distT="114300" distL="114300" distR="114300">
            <wp:extent cx="190500" cy="127000"/>
            <wp:effectExtent b="0" l="0" r="0" t="0"/>
            <wp:docPr descr="Item" id="3" name="image17.gif"/>
            <a:graphic>
              <a:graphicData uri="http://schemas.openxmlformats.org/drawingml/2006/picture">
                <pic:pic>
                  <pic:nvPicPr>
                    <pic:cNvPr descr="Item" id="0" name="image17.gif"/>
                    <pic:cNvPicPr preferRelativeResize="0"/>
                  </pic:nvPicPr>
                  <pic:blipFill>
                    <a:blip r:embed="rId13"/>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balancing resource use with ecological capacity to supply resources;</w:t>
      </w:r>
    </w:p>
    <w:p w:rsidR="00000000" w:rsidDel="00000000" w:rsidP="00000000" w:rsidRDefault="00000000" w:rsidRPr="00000000" w14:paraId="0000004A">
      <w:pPr>
        <w:shd w:fill="ffffff" w:val="clear"/>
        <w:contextualSpacing w:val="0"/>
        <w:rPr/>
      </w:pPr>
      <w:r w:rsidDel="00000000" w:rsidR="00000000" w:rsidRPr="00000000">
        <w:rPr/>
        <w:drawing>
          <wp:inline distB="114300" distT="114300" distL="114300" distR="114300">
            <wp:extent cx="190500" cy="127000"/>
            <wp:effectExtent b="0" l="0" r="0" t="0"/>
            <wp:docPr descr="Item" id="5" name="image19.gif"/>
            <a:graphic>
              <a:graphicData uri="http://schemas.openxmlformats.org/drawingml/2006/picture">
                <pic:pic>
                  <pic:nvPicPr>
                    <pic:cNvPr descr="Item" id="0" name="image19.gif"/>
                    <pic:cNvPicPr preferRelativeResize="0"/>
                  </pic:nvPicPr>
                  <pic:blipFill>
                    <a:blip r:embed="rId14"/>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improving quality of human life.</w:t>
      </w:r>
    </w:p>
    <w:p w:rsidR="00000000" w:rsidDel="00000000" w:rsidP="00000000" w:rsidRDefault="00000000" w:rsidRPr="00000000" w14:paraId="0000004B">
      <w:pPr>
        <w:shd w:fill="ffffff" w:val="clear"/>
        <w:contextualSpacing w:val="0"/>
        <w:rPr/>
      </w:pPr>
      <w:r w:rsidDel="00000000" w:rsidR="00000000" w:rsidRPr="00000000">
        <w:rPr>
          <w:rtl w:val="0"/>
        </w:rPr>
        <w:t xml:space="preserve">Public opinion indicates concern with existing development patterns as well as limited interest in new alternatives that explore alternatives to low density single family living. Studies suggest that:</w:t>
      </w:r>
    </w:p>
    <w:p w:rsidR="00000000" w:rsidDel="00000000" w:rsidP="00000000" w:rsidRDefault="00000000" w:rsidRPr="00000000" w14:paraId="0000004C">
      <w:pPr>
        <w:shd w:fill="ffffff" w:val="clear"/>
        <w:contextualSpacing w:val="0"/>
        <w:rPr/>
      </w:pPr>
      <w:r w:rsidDel="00000000" w:rsidR="00000000" w:rsidRPr="00000000">
        <w:rPr/>
        <w:drawing>
          <wp:inline distB="114300" distT="114300" distL="114300" distR="114300">
            <wp:extent cx="190500" cy="127000"/>
            <wp:effectExtent b="0" l="0" r="0" t="0"/>
            <wp:docPr descr="Item" id="9" name="image23.gif"/>
            <a:graphic>
              <a:graphicData uri="http://schemas.openxmlformats.org/drawingml/2006/picture">
                <pic:pic>
                  <pic:nvPicPr>
                    <pic:cNvPr descr="Item" id="0" name="image23.gif"/>
                    <pic:cNvPicPr preferRelativeResize="0"/>
                  </pic:nvPicPr>
                  <pic:blipFill>
                    <a:blip r:embed="rId15"/>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preserving habitat and green space is very important;</w:t>
      </w:r>
    </w:p>
    <w:p w:rsidR="00000000" w:rsidDel="00000000" w:rsidP="00000000" w:rsidRDefault="00000000" w:rsidRPr="00000000" w14:paraId="0000004D">
      <w:pPr>
        <w:shd w:fill="ffffff" w:val="clear"/>
        <w:contextualSpacing w:val="0"/>
        <w:rPr/>
      </w:pPr>
      <w:r w:rsidDel="00000000" w:rsidR="00000000" w:rsidRPr="00000000">
        <w:rPr/>
        <w:drawing>
          <wp:inline distB="114300" distT="114300" distL="114300" distR="114300">
            <wp:extent cx="190500" cy="127000"/>
            <wp:effectExtent b="0" l="0" r="0" t="0"/>
            <wp:docPr descr="Item" id="1" name="image5.gif"/>
            <a:graphic>
              <a:graphicData uri="http://schemas.openxmlformats.org/drawingml/2006/picture">
                <pic:pic>
                  <pic:nvPicPr>
                    <pic:cNvPr descr="Item" id="0" name="image5.gif"/>
                    <pic:cNvPicPr preferRelativeResize="0"/>
                  </pic:nvPicPr>
                  <pic:blipFill>
                    <a:blip r:embed="rId16"/>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maintaining personal safety is one of the highest community objectives;</w:t>
      </w:r>
    </w:p>
    <w:p w:rsidR="00000000" w:rsidDel="00000000" w:rsidP="00000000" w:rsidRDefault="00000000" w:rsidRPr="00000000" w14:paraId="0000004E">
      <w:pPr>
        <w:shd w:fill="ffffff" w:val="clear"/>
        <w:contextualSpacing w:val="0"/>
        <w:rPr/>
      </w:pPr>
      <w:r w:rsidDel="00000000" w:rsidR="00000000" w:rsidRPr="00000000">
        <w:rPr/>
        <w:drawing>
          <wp:inline distB="114300" distT="114300" distL="114300" distR="114300">
            <wp:extent cx="190500" cy="127000"/>
            <wp:effectExtent b="0" l="0" r="0" t="0"/>
            <wp:docPr descr="Item" id="10" name="image24.gif"/>
            <a:graphic>
              <a:graphicData uri="http://schemas.openxmlformats.org/drawingml/2006/picture">
                <pic:pic>
                  <pic:nvPicPr>
                    <pic:cNvPr descr="Item" id="0" name="image24.gif"/>
                    <pic:cNvPicPr preferRelativeResize="0"/>
                  </pic:nvPicPr>
                  <pic:blipFill>
                    <a:blip r:embed="rId17"/>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interest in improving existing cities and managing the negative aspects of sprawl;</w:t>
      </w:r>
    </w:p>
    <w:p w:rsidR="00000000" w:rsidDel="00000000" w:rsidP="00000000" w:rsidRDefault="00000000" w:rsidRPr="00000000" w14:paraId="0000004F">
      <w:pPr>
        <w:shd w:fill="ffffff" w:val="clear"/>
        <w:contextualSpacing w:val="0"/>
        <w:rPr/>
      </w:pPr>
      <w:r w:rsidDel="00000000" w:rsidR="00000000" w:rsidRPr="00000000">
        <w:rPr/>
        <w:drawing>
          <wp:inline distB="114300" distT="114300" distL="114300" distR="114300">
            <wp:extent cx="190500" cy="127000"/>
            <wp:effectExtent b="0" l="0" r="0" t="0"/>
            <wp:docPr descr="Item" id="4" name="image18.gif"/>
            <a:graphic>
              <a:graphicData uri="http://schemas.openxmlformats.org/drawingml/2006/picture">
                <pic:pic>
                  <pic:nvPicPr>
                    <pic:cNvPr descr="Item" id="0" name="image18.gif"/>
                    <pic:cNvPicPr preferRelativeResize="0"/>
                  </pic:nvPicPr>
                  <pic:blipFill>
                    <a:blip r:embed="rId18"/>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access to nearby nature is sought;</w:t>
      </w:r>
    </w:p>
    <w:p w:rsidR="00000000" w:rsidDel="00000000" w:rsidP="00000000" w:rsidRDefault="00000000" w:rsidRPr="00000000" w14:paraId="00000050">
      <w:pPr>
        <w:shd w:fill="ffffff" w:val="clear"/>
        <w:contextualSpacing w:val="0"/>
        <w:rPr/>
      </w:pPr>
      <w:r w:rsidDel="00000000" w:rsidR="00000000" w:rsidRPr="00000000">
        <w:rPr/>
        <w:drawing>
          <wp:inline distB="114300" distT="114300" distL="114300" distR="114300">
            <wp:extent cx="190500" cy="127000"/>
            <wp:effectExtent b="0" l="0" r="0" t="0"/>
            <wp:docPr descr="Item" id="7" name="image21.gif"/>
            <a:graphic>
              <a:graphicData uri="http://schemas.openxmlformats.org/drawingml/2006/picture">
                <pic:pic>
                  <pic:nvPicPr>
                    <pic:cNvPr descr="Item" id="0" name="image21.gif"/>
                    <pic:cNvPicPr preferRelativeResize="0"/>
                  </pic:nvPicPr>
                  <pic:blipFill>
                    <a:blip r:embed="rId19"/>
                    <a:srcRect b="0" l="0" r="0" t="0"/>
                    <a:stretch>
                      <a:fillRect/>
                    </a:stretch>
                  </pic:blipFill>
                  <pic:spPr>
                    <a:xfrm>
                      <a:off x="0" y="0"/>
                      <a:ext cx="190500" cy="127000"/>
                    </a:xfrm>
                    <a:prstGeom prst="rect"/>
                    <a:ln/>
                  </pic:spPr>
                </pic:pic>
              </a:graphicData>
            </a:graphic>
          </wp:inline>
        </w:drawing>
      </w:r>
      <w:r w:rsidDel="00000000" w:rsidR="00000000" w:rsidRPr="00000000">
        <w:rPr>
          <w:rtl w:val="0"/>
        </w:rPr>
        <w:t xml:space="preserve">youth and empty nesters are currently the most likely market to seek alternatives to low density, single family living.</w:t>
      </w:r>
    </w:p>
    <w:p w:rsidR="00000000" w:rsidDel="00000000" w:rsidP="00000000" w:rsidRDefault="00000000" w:rsidRPr="00000000" w14:paraId="00000051">
      <w:pPr>
        <w:shd w:fill="ffffff" w:val="clear"/>
        <w:contextualSpacing w:val="0"/>
        <w:rPr/>
      </w:pPr>
      <w:r w:rsidDel="00000000" w:rsidR="00000000" w:rsidRPr="00000000">
        <w:rPr>
          <w:rtl w:val="0"/>
        </w:rPr>
        <w:t xml:space="preserve">The considerable growth forecasted for California during the next 30 to 40 years can be an opportunity for positive change. With proper planning, growth can help heal existing central cities and their surrounding low density districts. A more vibrant and diverse urbanization would help increase the quality of life, and help provide for a sustainable future.</w:t>
      </w:r>
    </w:p>
    <w:p w:rsidR="00000000" w:rsidDel="00000000" w:rsidP="00000000" w:rsidRDefault="00000000" w:rsidRPr="00000000" w14:paraId="00000052">
      <w:pPr>
        <w:shd w:fill="ffffff" w:val="clear"/>
        <w:contextualSpacing w:val="0"/>
        <w:rPr/>
      </w:pPr>
      <w:r w:rsidDel="00000000" w:rsidR="00000000" w:rsidRPr="00000000">
        <w:rPr>
          <w:rtl w:val="0"/>
        </w:rPr>
        <w:t xml:space="preserve">Adapted from </w:t>
      </w:r>
      <w:r w:rsidDel="00000000" w:rsidR="00000000" w:rsidRPr="00000000">
        <w:rPr>
          <w:i w:val="1"/>
          <w:rtl w:val="0"/>
        </w:rPr>
        <w:t xml:space="preserve">Integrated Sustainable Design : The Urban Village for the Central Valley.</w:t>
      </w:r>
      <w:r w:rsidDel="00000000" w:rsidR="00000000" w:rsidRPr="00000000">
        <w:rPr>
          <w:rtl w:val="0"/>
        </w:rPr>
        <w:t xml:space="preserve"> By Randall Fleming and Eric Rowell. Sustainable Communities Consortium, UC Davis. You may reach Randall Fleming at (530) 754-8408 or rcfleming@ucdavis.edu.</w:t>
      </w:r>
    </w:p>
    <w:p w:rsidR="00000000" w:rsidDel="00000000" w:rsidP="00000000" w:rsidRDefault="00000000" w:rsidRPr="00000000" w14:paraId="00000053">
      <w:pPr>
        <w:shd w:fill="ffffff" w:val="clear"/>
        <w:contextualSpacing w:val="0"/>
        <w:rPr>
          <w:b w:val="1"/>
        </w:rPr>
      </w:pPr>
      <w:r w:rsidDel="00000000" w:rsidR="00000000" w:rsidRPr="00000000">
        <w:rPr>
          <w:b w:val="1"/>
          <w:rtl w:val="0"/>
        </w:rPr>
        <w:t xml:space="preserve">References</w:t>
      </w:r>
    </w:p>
    <w:p w:rsidR="00000000" w:rsidDel="00000000" w:rsidP="00000000" w:rsidRDefault="00000000" w:rsidRPr="00000000" w14:paraId="00000054">
      <w:pPr>
        <w:shd w:fill="ffffff" w:val="clear"/>
        <w:contextualSpacing w:val="0"/>
        <w:rPr/>
      </w:pPr>
      <w:r w:rsidDel="00000000" w:rsidR="00000000" w:rsidRPr="00000000">
        <w:rPr>
          <w:rtl w:val="0"/>
        </w:rPr>
        <w:t xml:space="preserve">1. American LIVES. Survey of 1,650 homebuyers in Florida, Texas, California, Michigan, Colorado, and Washington State.</w:t>
      </w:r>
    </w:p>
    <w:p w:rsidR="00000000" w:rsidDel="00000000" w:rsidP="00000000" w:rsidRDefault="00000000" w:rsidRPr="00000000" w14:paraId="00000055">
      <w:pPr>
        <w:shd w:fill="ffffff" w:val="clear"/>
        <w:contextualSpacing w:val="0"/>
        <w:rPr/>
      </w:pPr>
      <w:r w:rsidDel="00000000" w:rsidR="00000000" w:rsidRPr="00000000">
        <w:rPr>
          <w:rtl w:val="0"/>
        </w:rPr>
        <w:t xml:space="preserve">2. Information presented at a national conference, 1998.</w:t>
      </w:r>
    </w:p>
    <w:p w:rsidR="00000000" w:rsidDel="00000000" w:rsidP="00000000" w:rsidRDefault="00000000" w:rsidRPr="00000000" w14:paraId="00000056">
      <w:pPr>
        <w:shd w:fill="ffffff" w:val="clear"/>
        <w:contextualSpacing w:val="0"/>
        <w:rPr/>
      </w:pPr>
      <w:r w:rsidDel="00000000" w:rsidR="00000000" w:rsidRPr="00000000">
        <w:rPr>
          <w:rtl w:val="0"/>
        </w:rPr>
        <w:t xml:space="preserve">3. A national poll by Beldon, Russonello, and Stewart found that only 9% of respondents wanted to live in a large city.</w:t>
      </w:r>
    </w:p>
    <w:p w:rsidR="00000000" w:rsidDel="00000000" w:rsidP="00000000" w:rsidRDefault="00000000" w:rsidRPr="00000000" w14:paraId="00000057">
      <w:pPr>
        <w:shd w:fill="ffffff" w:val="clear"/>
        <w:contextualSpacing w:val="0"/>
        <w:rPr/>
      </w:pPr>
      <w:r w:rsidDel="00000000" w:rsidR="00000000" w:rsidRPr="00000000">
        <w:rPr>
          <w:rtl w:val="0"/>
        </w:rPr>
        <w:t xml:space="preserve">4. Living in the Region: Survey of Resident's Treasured Places. (Interviews with 88 residents) Randall Fleming and Chris Weiss.</w:t>
      </w:r>
    </w:p>
    <w:p w:rsidR="00000000" w:rsidDel="00000000" w:rsidP="00000000" w:rsidRDefault="00000000" w:rsidRPr="00000000" w14:paraId="00000058">
      <w:pPr>
        <w:shd w:fill="ffffff" w:val="clear"/>
        <w:contextualSpacing w:val="0"/>
        <w:rPr/>
      </w:pPr>
      <w:r w:rsidDel="00000000" w:rsidR="00000000" w:rsidRPr="00000000">
        <w:rPr>
          <w:rtl w:val="0"/>
        </w:rPr>
        <w:t xml:space="preserve">5. San Francisco Examiner, Suburban Flight. January, 1998. 6. 1990 US Census Data.</w:t>
      </w:r>
    </w:p>
    <w:p w:rsidR="00000000" w:rsidDel="00000000" w:rsidP="00000000" w:rsidRDefault="00000000" w:rsidRPr="00000000" w14:paraId="00000059">
      <w:pPr>
        <w:shd w:fill="ffffff" w:val="clear"/>
        <w:contextualSpacing w:val="0"/>
        <w:rPr/>
      </w:pPr>
      <w:r w:rsidDel="00000000" w:rsidR="00000000" w:rsidRPr="00000000">
        <w:rPr>
          <w:rtl w:val="0"/>
        </w:rPr>
        <w:t xml:space="preserve">7. Transit Villages in the 21st Century. Michael Bernick and Robert Cervero. McGraw-Hill. (1997).</w:t>
      </w:r>
    </w:p>
    <w:p w:rsidR="00000000" w:rsidDel="00000000" w:rsidP="00000000" w:rsidRDefault="00000000" w:rsidRPr="00000000" w14:paraId="0000005A">
      <w:pPr>
        <w:shd w:fill="ffffff" w:val="clear"/>
        <w:contextualSpacing w:val="0"/>
        <w:rPr/>
      </w:pPr>
      <w:r w:rsidDel="00000000" w:rsidR="00000000" w:rsidRPr="00000000">
        <w:rPr>
          <w:rtl w:val="0"/>
        </w:rPr>
        <w:t xml:space="preserve">8. The Energy Yardstick: Using "Places3" to Create More Sustainable Communities. Eliot Allen and Michael McKeever. Center for Excellence for Sustainable Development. (1996).</w:t>
      </w:r>
    </w:p>
    <w:p w:rsidR="00000000" w:rsidDel="00000000" w:rsidP="00000000" w:rsidRDefault="00000000" w:rsidRPr="00000000" w14:paraId="0000005B">
      <w:pPr>
        <w:shd w:fill="ffffff" w:val="clear"/>
        <w:contextualSpacing w:val="0"/>
        <w:rPr/>
      </w:pPr>
      <w:r w:rsidDel="00000000" w:rsidR="00000000" w:rsidRPr="00000000">
        <w:rPr>
          <w:rtl w:val="0"/>
        </w:rPr>
        <w:t xml:space="preserve">9. Preliminary regional modeling studies by Professor Robert Johnston, UC Davis.</w:t>
      </w:r>
    </w:p>
    <w:p w:rsidR="00000000" w:rsidDel="00000000" w:rsidP="00000000" w:rsidRDefault="00000000" w:rsidRPr="00000000" w14:paraId="0000005C">
      <w:pPr>
        <w:shd w:fill="ffffff" w:val="clear"/>
        <w:contextualSpacing w:val="0"/>
        <w:rPr/>
      </w:pPr>
      <w:r w:rsidDel="00000000" w:rsidR="00000000" w:rsidRPr="00000000">
        <w:rPr>
          <w:rtl w:val="0"/>
        </w:rPr>
        <w:t xml:space="preserve">10. Public Transportation and Land Use Policy. Boris Pushkarev &amp; Jeffrey Zupan. Indiana Univ. Press. (1977). 11. The people per acre figures are calculated on gross densities, including all urban lands such as roads, housing, parks, schools, open spaces, retail, commercial, manufacturing, and cultural uses. This approach allows a system basis to compare densities.</w:t>
      </w:r>
    </w:p>
    <w:p w:rsidR="00000000" w:rsidDel="00000000" w:rsidP="00000000" w:rsidRDefault="00000000" w:rsidRPr="00000000" w14:paraId="0000005D">
      <w:pPr>
        <w:shd w:fill="ffffff" w:val="clear"/>
        <w:contextualSpacing w:val="0"/>
        <w:rPr/>
      </w:pPr>
      <w:r w:rsidDel="00000000" w:rsidR="00000000" w:rsidRPr="00000000">
        <w:rPr>
          <w:rtl w:val="0"/>
        </w:rPr>
        <w:t xml:space="preserve">12. Smithsonian Timelines of the Ancient World. Chris Scarre. Dorling Kindersley, Inc. (1993).</w:t>
      </w:r>
    </w:p>
    <w:p w:rsidR="00000000" w:rsidDel="00000000" w:rsidP="00000000" w:rsidRDefault="00000000" w:rsidRPr="00000000" w14:paraId="0000005E">
      <w:pPr>
        <w:shd w:fill="ffffff" w:val="clear"/>
        <w:contextualSpacing w:val="0"/>
        <w:rPr/>
      </w:pPr>
      <w:r w:rsidDel="00000000" w:rsidR="00000000" w:rsidRPr="00000000">
        <w:rPr>
          <w:rtl w:val="0"/>
        </w:rPr>
        <w:t xml:space="preserve">13. Municipal Density and Farmland Protection: An Exploratory Study of Central Valley Patterns. Alvin Sokolow. Agricultural Issues Center, UC Davis (1996).</w:t>
      </w:r>
    </w:p>
    <w:p w:rsidR="00000000" w:rsidDel="00000000" w:rsidP="00000000" w:rsidRDefault="00000000" w:rsidRPr="00000000" w14:paraId="0000005F">
      <w:pPr>
        <w:shd w:fill="ffffff" w:val="clear"/>
        <w:contextualSpacing w:val="0"/>
        <w:rPr/>
      </w:pPr>
      <w:r w:rsidDel="00000000" w:rsidR="00000000" w:rsidRPr="00000000">
        <w:rPr>
          <w:rtl w:val="0"/>
        </w:rPr>
        <w:t xml:space="preserve">14.The Next American Metropolis. Peter Calthorpe. Princeton Architectural Press. (1993).</w:t>
      </w:r>
    </w:p>
    <w:p w:rsidR="00000000" w:rsidDel="00000000" w:rsidP="00000000" w:rsidRDefault="00000000" w:rsidRPr="00000000" w14:paraId="00000060">
      <w:pPr>
        <w:shd w:fill="ffffff" w:val="clear"/>
        <w:contextualSpacing w:val="0"/>
        <w:rPr/>
      </w:pPr>
      <w:r w:rsidDel="00000000" w:rsidR="00000000" w:rsidRPr="00000000">
        <w:rPr>
          <w:rtl w:val="0"/>
        </w:rPr>
        <w:t xml:space="preserve">15. Mathematical land use modeling studies by Randall Fleming.</w:t>
      </w:r>
    </w:p>
    <w:p w:rsidR="00000000" w:rsidDel="00000000" w:rsidP="00000000" w:rsidRDefault="00000000" w:rsidRPr="00000000" w14:paraId="00000061">
      <w:pPr>
        <w:shd w:fill="ffffff" w:val="clear"/>
        <w:contextualSpacing w:val="0"/>
        <w:rPr/>
      </w:pPr>
      <w:r w:rsidDel="00000000" w:rsidR="00000000" w:rsidRPr="00000000">
        <w:rPr>
          <w:i w:val="1"/>
          <w:rtl w:val="0"/>
        </w:rPr>
        <w:t xml:space="preserve">Linkages</w:t>
      </w:r>
      <w:r w:rsidDel="00000000" w:rsidR="00000000" w:rsidRPr="00000000">
        <w:rPr>
          <w:rtl w:val="0"/>
        </w:rPr>
        <w:t xml:space="preserve"> is published by the Institute for Ecological Health, 409 Jardin Place, Davis, CA 95616. (530) 756-6455. ieh@mail.mother.com. This periodical provides information, analysis, and viewpoints about California land issues. It explores the needs of different interests and creative solutions. Topics include, planning and economics, development, urban design, conservation, ecology, agriculture and land use practices. Most issues have a special focus on a subject or geographic area. Distribution includes many people in local government, the media and regional leaders, as well as IEH members. Sample copy $3.</w:t>
      </w:r>
    </w:p>
    <w:p w:rsidR="00000000" w:rsidDel="00000000" w:rsidP="00000000" w:rsidRDefault="00000000" w:rsidRPr="00000000" w14:paraId="00000062">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1" Type="http://schemas.openxmlformats.org/officeDocument/2006/relationships/image" Target="media/image22.gif"/><Relationship Id="rId10" Type="http://schemas.openxmlformats.org/officeDocument/2006/relationships/image" Target="media/image25.gif"/><Relationship Id="rId13" Type="http://schemas.openxmlformats.org/officeDocument/2006/relationships/image" Target="media/image17.gif"/><Relationship Id="rId12" Type="http://schemas.openxmlformats.org/officeDocument/2006/relationships/image" Target="media/image16.gif"/><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0.gif"/><Relationship Id="rId15" Type="http://schemas.openxmlformats.org/officeDocument/2006/relationships/image" Target="media/image23.gif"/><Relationship Id="rId14" Type="http://schemas.openxmlformats.org/officeDocument/2006/relationships/image" Target="media/image19.gif"/><Relationship Id="rId17" Type="http://schemas.openxmlformats.org/officeDocument/2006/relationships/image" Target="media/image24.gif"/><Relationship Id="rId16" Type="http://schemas.openxmlformats.org/officeDocument/2006/relationships/image" Target="media/image5.gif"/><Relationship Id="rId5" Type="http://schemas.openxmlformats.org/officeDocument/2006/relationships/styles" Target="styles.xml"/><Relationship Id="rId19" Type="http://schemas.openxmlformats.org/officeDocument/2006/relationships/image" Target="media/image21.gif"/><Relationship Id="rId6" Type="http://schemas.openxmlformats.org/officeDocument/2006/relationships/image" Target="media/image27.gif"/><Relationship Id="rId18" Type="http://schemas.openxmlformats.org/officeDocument/2006/relationships/image" Target="media/image18.gif"/><Relationship Id="rId7" Type="http://schemas.openxmlformats.org/officeDocument/2006/relationships/image" Target="media/image26.gif"/><Relationship Id="rId8" Type="http://schemas.openxmlformats.org/officeDocument/2006/relationships/image" Target="media/image2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